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80" w:rsidRPr="002F5BF9" w:rsidRDefault="00D10622" w:rsidP="00BB2CD0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F5BF9">
        <w:rPr>
          <w:rFonts w:ascii="Times New Roman" w:hAnsi="Times New Roman"/>
          <w:b/>
          <w:sz w:val="28"/>
          <w:szCs w:val="28"/>
        </w:rPr>
        <w:t xml:space="preserve">Организация установки инсулиновых помп в эндокринологическом стационаре </w:t>
      </w:r>
    </w:p>
    <w:p w:rsidR="00BB2CD0" w:rsidRPr="002F5BF9" w:rsidRDefault="00BB2CD0" w:rsidP="00BB2CD0">
      <w:pPr>
        <w:spacing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2F5BF9">
        <w:rPr>
          <w:rFonts w:ascii="Times New Roman" w:hAnsi="Times New Roman"/>
          <w:i/>
          <w:sz w:val="28"/>
          <w:szCs w:val="28"/>
        </w:rPr>
        <w:t xml:space="preserve">Барсуков И.А., </w:t>
      </w:r>
      <w:r w:rsidR="001E28D5">
        <w:rPr>
          <w:rFonts w:ascii="Times New Roman" w:hAnsi="Times New Roman"/>
          <w:i/>
          <w:sz w:val="28"/>
          <w:szCs w:val="28"/>
        </w:rPr>
        <w:t>Демина А.А.</w:t>
      </w:r>
    </w:p>
    <w:p w:rsidR="00C11E80" w:rsidRPr="002F5BF9" w:rsidRDefault="00C11E80" w:rsidP="00347D9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F9">
        <w:rPr>
          <w:rFonts w:ascii="Times New Roman" w:hAnsi="Times New Roman"/>
          <w:sz w:val="28"/>
          <w:szCs w:val="28"/>
        </w:rPr>
        <w:t xml:space="preserve">До 2015 года внедрение помповой инсулинотерапии (ПИ) и систем непрерывного мониторинга гликемии (НМГ) в отечественную реальную клиническую </w:t>
      </w:r>
      <w:r w:rsidRPr="00B77C47">
        <w:rPr>
          <w:rFonts w:ascii="Times New Roman" w:hAnsi="Times New Roman"/>
          <w:sz w:val="28"/>
          <w:szCs w:val="28"/>
        </w:rPr>
        <w:t>практику проходило достаточно медленно. С внедрением программ</w:t>
      </w:r>
      <w:r w:rsidR="003237D2" w:rsidRPr="00B77C47">
        <w:rPr>
          <w:rFonts w:ascii="Times New Roman" w:hAnsi="Times New Roman"/>
          <w:sz w:val="28"/>
          <w:szCs w:val="28"/>
        </w:rPr>
        <w:t>ы</w:t>
      </w:r>
      <w:r w:rsidRPr="00B77C47">
        <w:rPr>
          <w:rFonts w:ascii="Times New Roman" w:hAnsi="Times New Roman"/>
          <w:sz w:val="28"/>
          <w:szCs w:val="28"/>
        </w:rPr>
        <w:t xml:space="preserve"> высокотехнологичной </w:t>
      </w:r>
      <w:proofErr w:type="spellStart"/>
      <w:r w:rsidR="003237D2" w:rsidRPr="00B77C47">
        <w:rPr>
          <w:rFonts w:ascii="Times New Roman" w:hAnsi="Times New Roman"/>
          <w:sz w:val="28"/>
          <w:szCs w:val="28"/>
        </w:rPr>
        <w:t>диабетологичекой</w:t>
      </w:r>
      <w:proofErr w:type="spellEnd"/>
      <w:r w:rsidR="003237D2" w:rsidRPr="00B77C47">
        <w:rPr>
          <w:rFonts w:ascii="Times New Roman" w:hAnsi="Times New Roman"/>
          <w:sz w:val="28"/>
          <w:szCs w:val="28"/>
        </w:rPr>
        <w:t xml:space="preserve"> </w:t>
      </w:r>
      <w:r w:rsidRPr="00B77C47">
        <w:rPr>
          <w:rFonts w:ascii="Times New Roman" w:hAnsi="Times New Roman"/>
          <w:sz w:val="28"/>
          <w:szCs w:val="28"/>
        </w:rPr>
        <w:t>медицинской помощи (ВМП) в систему обязательного медицинского страхования (ОМС)</w:t>
      </w:r>
      <w:r w:rsidR="003237D2" w:rsidRPr="00B77C47">
        <w:rPr>
          <w:rFonts w:ascii="Times New Roman" w:hAnsi="Times New Roman"/>
          <w:sz w:val="28"/>
          <w:szCs w:val="28"/>
        </w:rPr>
        <w:t xml:space="preserve"> </w:t>
      </w:r>
      <w:r w:rsidR="00B77C47" w:rsidRPr="00B77C47">
        <w:rPr>
          <w:rFonts w:ascii="Times New Roman" w:hAnsi="Times New Roman"/>
          <w:sz w:val="28"/>
          <w:szCs w:val="28"/>
        </w:rPr>
        <w:t xml:space="preserve">Постановлением Правительства РФ №1273 от </w:t>
      </w:r>
      <w:proofErr w:type="gramStart"/>
      <w:r w:rsidR="00B77C47" w:rsidRPr="00B77C47">
        <w:rPr>
          <w:rFonts w:ascii="Times New Roman" w:hAnsi="Times New Roman"/>
          <w:sz w:val="28"/>
          <w:szCs w:val="28"/>
        </w:rPr>
        <w:t>28.11.2014</w:t>
      </w:r>
      <w:r w:rsidR="00347D9D" w:rsidRPr="00B77C47">
        <w:rPr>
          <w:rFonts w:ascii="Times New Roman" w:hAnsi="Times New Roman"/>
          <w:sz w:val="28"/>
          <w:szCs w:val="28"/>
        </w:rPr>
        <w:t xml:space="preserve"> </w:t>
      </w:r>
      <w:r w:rsidRPr="00B77C47">
        <w:rPr>
          <w:rFonts w:ascii="Times New Roman" w:hAnsi="Times New Roman"/>
          <w:sz w:val="28"/>
          <w:szCs w:val="28"/>
        </w:rPr>
        <w:t xml:space="preserve"> количество</w:t>
      </w:r>
      <w:proofErr w:type="gramEnd"/>
      <w:r w:rsidRPr="00B77C47">
        <w:rPr>
          <w:rFonts w:ascii="Times New Roman" w:hAnsi="Times New Roman"/>
          <w:sz w:val="28"/>
          <w:szCs w:val="28"/>
        </w:rPr>
        <w:t xml:space="preserve"> пациентов, переведенных на ПИ, резко возросло</w:t>
      </w:r>
      <w:r w:rsidRPr="002F5BF9">
        <w:rPr>
          <w:rFonts w:ascii="Times New Roman" w:hAnsi="Times New Roman"/>
          <w:sz w:val="28"/>
          <w:szCs w:val="28"/>
        </w:rPr>
        <w:t xml:space="preserve">. </w:t>
      </w:r>
      <w:r w:rsidR="002654AD">
        <w:rPr>
          <w:rFonts w:ascii="Times New Roman" w:hAnsi="Times New Roman"/>
          <w:sz w:val="28"/>
          <w:szCs w:val="28"/>
        </w:rPr>
        <w:t>Так, в</w:t>
      </w:r>
      <w:r w:rsidRPr="002F5BF9">
        <w:rPr>
          <w:rFonts w:ascii="Times New Roman" w:hAnsi="Times New Roman"/>
          <w:sz w:val="28"/>
          <w:szCs w:val="28"/>
        </w:rPr>
        <w:t xml:space="preserve"> отделении терапевтической эндокринологии ГБУЗ МО МОНИКИ в 2015-201</w:t>
      </w:r>
      <w:r w:rsidR="002654AD">
        <w:rPr>
          <w:rFonts w:ascii="Times New Roman" w:hAnsi="Times New Roman"/>
          <w:sz w:val="28"/>
          <w:szCs w:val="28"/>
        </w:rPr>
        <w:t>9</w:t>
      </w:r>
      <w:r w:rsidRPr="002F5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5BF9">
        <w:rPr>
          <w:rFonts w:ascii="Times New Roman" w:hAnsi="Times New Roman"/>
          <w:sz w:val="28"/>
          <w:szCs w:val="28"/>
        </w:rPr>
        <w:t>гг</w:t>
      </w:r>
      <w:proofErr w:type="spellEnd"/>
      <w:r w:rsidRPr="002F5BF9">
        <w:rPr>
          <w:rFonts w:ascii="Times New Roman" w:hAnsi="Times New Roman"/>
          <w:sz w:val="28"/>
          <w:szCs w:val="28"/>
        </w:rPr>
        <w:t xml:space="preserve"> </w:t>
      </w:r>
      <w:r w:rsidR="003237D2" w:rsidRPr="002F5BF9">
        <w:rPr>
          <w:rFonts w:ascii="Times New Roman" w:hAnsi="Times New Roman"/>
          <w:sz w:val="28"/>
          <w:szCs w:val="28"/>
        </w:rPr>
        <w:t xml:space="preserve">помпы были установлены </w:t>
      </w:r>
      <w:r w:rsidR="00B77C47">
        <w:rPr>
          <w:rFonts w:ascii="Times New Roman" w:hAnsi="Times New Roman"/>
          <w:sz w:val="28"/>
          <w:szCs w:val="28"/>
        </w:rPr>
        <w:t>около 9</w:t>
      </w:r>
      <w:r w:rsidR="002654AD">
        <w:rPr>
          <w:rFonts w:ascii="Times New Roman" w:hAnsi="Times New Roman"/>
          <w:sz w:val="28"/>
          <w:szCs w:val="28"/>
        </w:rPr>
        <w:t>00</w:t>
      </w:r>
      <w:r w:rsidRPr="002F5BF9">
        <w:rPr>
          <w:rFonts w:ascii="Times New Roman" w:hAnsi="Times New Roman"/>
          <w:sz w:val="28"/>
          <w:szCs w:val="28"/>
        </w:rPr>
        <w:t xml:space="preserve"> больны</w:t>
      </w:r>
      <w:r w:rsidR="00ED208A" w:rsidRPr="002F5BF9">
        <w:rPr>
          <w:rFonts w:ascii="Times New Roman" w:hAnsi="Times New Roman"/>
          <w:sz w:val="28"/>
          <w:szCs w:val="28"/>
        </w:rPr>
        <w:t>м</w:t>
      </w:r>
      <w:r w:rsidR="003237D2" w:rsidRPr="002F5BF9">
        <w:rPr>
          <w:rFonts w:ascii="Times New Roman" w:hAnsi="Times New Roman"/>
          <w:sz w:val="28"/>
          <w:szCs w:val="28"/>
        </w:rPr>
        <w:t xml:space="preserve"> </w:t>
      </w:r>
      <w:r w:rsidR="00ED208A" w:rsidRPr="002F5BF9">
        <w:rPr>
          <w:rFonts w:ascii="Times New Roman" w:hAnsi="Times New Roman"/>
          <w:sz w:val="28"/>
          <w:szCs w:val="28"/>
        </w:rPr>
        <w:t>с сахарным диабетом.</w:t>
      </w:r>
    </w:p>
    <w:p w:rsidR="002A4E90" w:rsidRPr="002F5BF9" w:rsidRDefault="001E28D5" w:rsidP="002A4E9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Пациенты с СД</w:t>
      </w:r>
      <w:r w:rsidR="00ED208A" w:rsidRPr="002F5BF9">
        <w:rPr>
          <w:rFonts w:ascii="Times New Roman" w:hAnsi="Times New Roman"/>
          <w:sz w:val="28"/>
          <w:szCs w:val="28"/>
        </w:rPr>
        <w:t xml:space="preserve"> были отобраны </w:t>
      </w:r>
      <w:r w:rsidRPr="002F5BF9">
        <w:rPr>
          <w:rFonts w:ascii="Times New Roman" w:hAnsi="Times New Roman"/>
          <w:sz w:val="28"/>
          <w:szCs w:val="28"/>
        </w:rPr>
        <w:t xml:space="preserve">для перевода на инсулинотерапию посредством инсулиновой помпы </w:t>
      </w:r>
      <w:r w:rsidR="00ED208A" w:rsidRPr="002F5BF9">
        <w:rPr>
          <w:rFonts w:ascii="Times New Roman" w:hAnsi="Times New Roman"/>
          <w:sz w:val="28"/>
          <w:szCs w:val="28"/>
        </w:rPr>
        <w:t xml:space="preserve">на основании </w:t>
      </w:r>
      <w:r w:rsidR="003237D2" w:rsidRPr="002F5BF9">
        <w:rPr>
          <w:rFonts w:ascii="Times New Roman" w:hAnsi="Times New Roman"/>
          <w:sz w:val="28"/>
          <w:szCs w:val="28"/>
        </w:rPr>
        <w:t>показани</w:t>
      </w:r>
      <w:r w:rsidR="00ED208A" w:rsidRPr="002F5BF9">
        <w:rPr>
          <w:rFonts w:ascii="Times New Roman" w:hAnsi="Times New Roman"/>
          <w:sz w:val="28"/>
          <w:szCs w:val="28"/>
        </w:rPr>
        <w:t>й</w:t>
      </w:r>
      <w:r w:rsidR="003237D2" w:rsidRPr="002F5BF9">
        <w:rPr>
          <w:rFonts w:ascii="Times New Roman" w:hAnsi="Times New Roman"/>
          <w:sz w:val="28"/>
          <w:szCs w:val="28"/>
        </w:rPr>
        <w:t>, отраженны</w:t>
      </w:r>
      <w:r w:rsidR="00ED208A" w:rsidRPr="002F5BF9">
        <w:rPr>
          <w:rFonts w:ascii="Times New Roman" w:hAnsi="Times New Roman"/>
          <w:sz w:val="28"/>
          <w:szCs w:val="28"/>
        </w:rPr>
        <w:t>х</w:t>
      </w:r>
      <w:r w:rsidR="003237D2" w:rsidRPr="002F5BF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D208A" w:rsidRPr="002F5BF9">
        <w:rPr>
          <w:rFonts w:ascii="Times New Roman" w:hAnsi="Times New Roman"/>
          <w:sz w:val="28"/>
          <w:szCs w:val="28"/>
        </w:rPr>
        <w:t>ф</w:t>
      </w:r>
      <w:r w:rsidR="002E03D5" w:rsidRPr="002F5BF9">
        <w:rPr>
          <w:rFonts w:ascii="Times New Roman" w:hAnsi="Times New Roman"/>
          <w:sz w:val="28"/>
          <w:szCs w:val="28"/>
        </w:rPr>
        <w:t>едеральны</w:t>
      </w:r>
      <w:r w:rsidR="003237D2" w:rsidRPr="002F5BF9">
        <w:rPr>
          <w:rFonts w:ascii="Times New Roman" w:hAnsi="Times New Roman"/>
          <w:sz w:val="28"/>
          <w:szCs w:val="28"/>
        </w:rPr>
        <w:t>х</w:t>
      </w:r>
      <w:r w:rsidR="002E03D5" w:rsidRPr="002F5BF9">
        <w:rPr>
          <w:rFonts w:ascii="Times New Roman" w:hAnsi="Times New Roman"/>
          <w:sz w:val="28"/>
          <w:szCs w:val="28"/>
        </w:rPr>
        <w:t xml:space="preserve"> </w:t>
      </w:r>
      <w:r w:rsidR="00016D5E" w:rsidRPr="002F5BF9">
        <w:rPr>
          <w:rFonts w:ascii="Times New Roman" w:hAnsi="Times New Roman"/>
          <w:sz w:val="28"/>
          <w:szCs w:val="28"/>
        </w:rPr>
        <w:t xml:space="preserve"> клинически</w:t>
      </w:r>
      <w:r w:rsidR="003237D2" w:rsidRPr="002F5BF9">
        <w:rPr>
          <w:rFonts w:ascii="Times New Roman" w:hAnsi="Times New Roman"/>
          <w:sz w:val="28"/>
          <w:szCs w:val="28"/>
        </w:rPr>
        <w:t>х</w:t>
      </w:r>
      <w:proofErr w:type="gramEnd"/>
      <w:r w:rsidR="00016D5E" w:rsidRPr="002F5BF9">
        <w:rPr>
          <w:rFonts w:ascii="Times New Roman" w:hAnsi="Times New Roman"/>
          <w:sz w:val="28"/>
          <w:szCs w:val="28"/>
        </w:rPr>
        <w:t xml:space="preserve"> рекомендаци</w:t>
      </w:r>
      <w:r w:rsidR="00ED208A" w:rsidRPr="002F5BF9">
        <w:rPr>
          <w:rFonts w:ascii="Times New Roman" w:hAnsi="Times New Roman"/>
          <w:sz w:val="28"/>
          <w:szCs w:val="28"/>
        </w:rPr>
        <w:t>ях</w:t>
      </w:r>
      <w:r w:rsidR="002E03D5" w:rsidRPr="002F5BF9">
        <w:rPr>
          <w:rFonts w:ascii="Times New Roman" w:hAnsi="Times New Roman"/>
          <w:sz w:val="28"/>
          <w:szCs w:val="28"/>
        </w:rPr>
        <w:t xml:space="preserve"> [</w:t>
      </w:r>
      <w:r w:rsidR="00B77C47">
        <w:rPr>
          <w:rFonts w:ascii="Times New Roman" w:hAnsi="Times New Roman"/>
          <w:sz w:val="28"/>
          <w:szCs w:val="28"/>
        </w:rPr>
        <w:t>1</w:t>
      </w:r>
      <w:r w:rsidR="002E03D5" w:rsidRPr="002F5BF9">
        <w:rPr>
          <w:rFonts w:ascii="Times New Roman" w:hAnsi="Times New Roman"/>
          <w:sz w:val="28"/>
          <w:szCs w:val="28"/>
        </w:rPr>
        <w:t>]</w:t>
      </w:r>
      <w:r w:rsidR="002A4E90">
        <w:rPr>
          <w:rFonts w:ascii="Times New Roman" w:hAnsi="Times New Roman"/>
          <w:sz w:val="28"/>
          <w:szCs w:val="28"/>
        </w:rPr>
        <w:t xml:space="preserve">. </w:t>
      </w:r>
      <w:r w:rsidR="002A4E90" w:rsidRPr="002F5BF9">
        <w:rPr>
          <w:rFonts w:ascii="Times New Roman" w:hAnsi="Times New Roman"/>
          <w:sz w:val="28"/>
          <w:szCs w:val="28"/>
        </w:rPr>
        <w:t xml:space="preserve">До установки помпы пациентам проводилось стандартное клиническое обследование. </w:t>
      </w:r>
      <w:r w:rsidR="002A4E90">
        <w:rPr>
          <w:rFonts w:ascii="Times New Roman" w:hAnsi="Times New Roman"/>
          <w:sz w:val="28"/>
          <w:szCs w:val="28"/>
        </w:rPr>
        <w:t xml:space="preserve"> </w:t>
      </w:r>
      <w:r w:rsidR="002A4E90" w:rsidRPr="002F5BF9">
        <w:rPr>
          <w:rFonts w:ascii="Times New Roman" w:hAnsi="Times New Roman"/>
          <w:sz w:val="28"/>
          <w:szCs w:val="28"/>
        </w:rPr>
        <w:t xml:space="preserve">На вторые-третьи сутки госпитализации </w:t>
      </w:r>
      <w:r w:rsidR="002A4E90">
        <w:rPr>
          <w:rFonts w:ascii="Times New Roman" w:hAnsi="Times New Roman"/>
          <w:sz w:val="28"/>
          <w:szCs w:val="28"/>
        </w:rPr>
        <w:t>пациентам устанавливалась инсулиновая</w:t>
      </w:r>
      <w:r w:rsidR="00F353B7">
        <w:rPr>
          <w:rFonts w:ascii="Times New Roman" w:hAnsi="Times New Roman"/>
          <w:sz w:val="28"/>
          <w:szCs w:val="28"/>
        </w:rPr>
        <w:t xml:space="preserve"> помпа</w:t>
      </w:r>
      <w:r w:rsidR="002A4E90" w:rsidRPr="002F5BF9">
        <w:rPr>
          <w:rFonts w:ascii="Times New Roman" w:hAnsi="Times New Roman"/>
          <w:sz w:val="28"/>
          <w:szCs w:val="28"/>
        </w:rPr>
        <w:t xml:space="preserve">. </w:t>
      </w:r>
      <w:r w:rsidR="002A4E90">
        <w:rPr>
          <w:rFonts w:ascii="Times New Roman" w:hAnsi="Times New Roman"/>
          <w:sz w:val="28"/>
          <w:szCs w:val="28"/>
        </w:rPr>
        <w:t>Расчет необходимой</w:t>
      </w:r>
      <w:r w:rsidR="00F353B7">
        <w:rPr>
          <w:rFonts w:ascii="Times New Roman" w:hAnsi="Times New Roman"/>
          <w:sz w:val="28"/>
          <w:szCs w:val="28"/>
        </w:rPr>
        <w:t xml:space="preserve"> базальной</w:t>
      </w:r>
      <w:r w:rsidR="002A4E90">
        <w:rPr>
          <w:rFonts w:ascii="Times New Roman" w:hAnsi="Times New Roman"/>
          <w:sz w:val="28"/>
          <w:szCs w:val="28"/>
        </w:rPr>
        <w:t xml:space="preserve"> скорости подачи инсулина рассчитывался индивидуально с учетом </w:t>
      </w:r>
      <w:r w:rsidR="001E2237">
        <w:rPr>
          <w:rFonts w:ascii="Times New Roman" w:hAnsi="Times New Roman"/>
          <w:sz w:val="28"/>
          <w:szCs w:val="28"/>
        </w:rPr>
        <w:t>исходной суточной дозы</w:t>
      </w:r>
      <w:r w:rsidR="002A4E90">
        <w:rPr>
          <w:rFonts w:ascii="Times New Roman" w:hAnsi="Times New Roman"/>
          <w:sz w:val="28"/>
          <w:szCs w:val="28"/>
        </w:rPr>
        <w:t xml:space="preserve"> инсулина на шприц-ручках</w:t>
      </w:r>
      <w:r w:rsidR="00F353B7">
        <w:rPr>
          <w:rFonts w:ascii="Times New Roman" w:hAnsi="Times New Roman"/>
          <w:sz w:val="28"/>
          <w:szCs w:val="28"/>
        </w:rPr>
        <w:t>, а также уровня компенсации углеводного обмена</w:t>
      </w:r>
      <w:r w:rsidR="002A4E90" w:rsidRPr="002F5BF9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2A4E90" w:rsidRPr="002F5BF9">
        <w:rPr>
          <w:rFonts w:ascii="Times New Roman" w:hAnsi="Times New Roman"/>
          <w:sz w:val="28"/>
          <w:szCs w:val="28"/>
        </w:rPr>
        <w:t>протоколу</w:t>
      </w:r>
      <w:proofErr w:type="gramEnd"/>
      <w:r w:rsidR="002A4E90" w:rsidRPr="002F5BF9">
        <w:rPr>
          <w:rFonts w:ascii="Times New Roman" w:hAnsi="Times New Roman"/>
          <w:sz w:val="28"/>
          <w:szCs w:val="28"/>
        </w:rPr>
        <w:t xml:space="preserve"> Боде [</w:t>
      </w:r>
      <w:r w:rsidR="00B77C47">
        <w:rPr>
          <w:rFonts w:ascii="Times New Roman" w:hAnsi="Times New Roman"/>
          <w:sz w:val="28"/>
          <w:szCs w:val="28"/>
        </w:rPr>
        <w:t>2</w:t>
      </w:r>
      <w:r w:rsidR="002A4E90" w:rsidRPr="002F5BF9">
        <w:rPr>
          <w:rFonts w:ascii="Times New Roman" w:hAnsi="Times New Roman"/>
          <w:sz w:val="28"/>
          <w:szCs w:val="28"/>
        </w:rPr>
        <w:t xml:space="preserve">]. </w:t>
      </w:r>
    </w:p>
    <w:p w:rsidR="00F353B7" w:rsidRDefault="00F353B7" w:rsidP="00F353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</w:t>
      </w:r>
      <w:r w:rsidR="002A4E90" w:rsidRPr="002A4E90">
        <w:rPr>
          <w:rFonts w:ascii="Times New Roman" w:hAnsi="Times New Roman"/>
          <w:sz w:val="28"/>
          <w:szCs w:val="28"/>
        </w:rPr>
        <w:t>на се</w:t>
      </w:r>
      <w:r>
        <w:rPr>
          <w:rFonts w:ascii="Times New Roman" w:hAnsi="Times New Roman"/>
          <w:sz w:val="28"/>
          <w:szCs w:val="28"/>
        </w:rPr>
        <w:t xml:space="preserve">годняшний день не существует </w:t>
      </w:r>
      <w:r w:rsidR="002A4E90" w:rsidRPr="002A4E90">
        <w:rPr>
          <w:rFonts w:ascii="Times New Roman" w:hAnsi="Times New Roman"/>
          <w:sz w:val="28"/>
          <w:szCs w:val="28"/>
        </w:rPr>
        <w:t>единого общепризнанного в</w:t>
      </w:r>
      <w:r>
        <w:rPr>
          <w:rFonts w:ascii="Times New Roman" w:hAnsi="Times New Roman"/>
          <w:sz w:val="28"/>
          <w:szCs w:val="28"/>
        </w:rPr>
        <w:t xml:space="preserve">ида подачи базального инсулина </w:t>
      </w:r>
      <w:r w:rsidR="002A4E90" w:rsidRPr="002A4E90">
        <w:rPr>
          <w:rFonts w:ascii="Times New Roman" w:hAnsi="Times New Roman"/>
          <w:sz w:val="28"/>
          <w:szCs w:val="28"/>
        </w:rPr>
        <w:t xml:space="preserve">на старте </w:t>
      </w:r>
      <w:r>
        <w:rPr>
          <w:rFonts w:ascii="Times New Roman" w:hAnsi="Times New Roman"/>
          <w:sz w:val="28"/>
          <w:szCs w:val="28"/>
        </w:rPr>
        <w:t>ПИ у взрослых. Более того, нет исследований, которые оценивали бы их безопасность в сопоставительном аспекте. Принимая во внимание вышеизложенное, н</w:t>
      </w:r>
      <w:r w:rsidR="001E2237">
        <w:rPr>
          <w:rFonts w:ascii="Times New Roman" w:hAnsi="Times New Roman"/>
          <w:sz w:val="28"/>
          <w:szCs w:val="28"/>
        </w:rPr>
        <w:t>ами было проведено исследование, целью которого являлось оценить безопасность различных видов базальной скорости подачи инсулина у взрослых.</w:t>
      </w:r>
    </w:p>
    <w:p w:rsidR="001E2237" w:rsidRDefault="00F353B7" w:rsidP="00351B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3B7">
        <w:rPr>
          <w:rFonts w:ascii="Times New Roman" w:hAnsi="Times New Roman"/>
          <w:sz w:val="28"/>
          <w:szCs w:val="28"/>
        </w:rPr>
        <w:t xml:space="preserve">Материалом исследования послужили данные </w:t>
      </w:r>
      <w:r w:rsidR="001E2237">
        <w:rPr>
          <w:rFonts w:ascii="Times New Roman" w:hAnsi="Times New Roman"/>
          <w:sz w:val="28"/>
          <w:szCs w:val="28"/>
        </w:rPr>
        <w:t>339</w:t>
      </w:r>
      <w:r w:rsidRPr="00F353B7">
        <w:rPr>
          <w:rFonts w:ascii="Times New Roman" w:hAnsi="Times New Roman"/>
          <w:sz w:val="28"/>
          <w:szCs w:val="28"/>
        </w:rPr>
        <w:t xml:space="preserve"> пациентов с СД 1 типа, переведенных на терапию посредством инсулиновой помпы в условиях </w:t>
      </w:r>
      <w:r w:rsidRPr="00F353B7">
        <w:rPr>
          <w:rFonts w:ascii="Times New Roman" w:hAnsi="Times New Roman"/>
          <w:sz w:val="28"/>
          <w:szCs w:val="28"/>
        </w:rPr>
        <w:lastRenderedPageBreak/>
        <w:t>отделения терапевтической эндокринологии МОНИКИ в период с 2015 по 201</w:t>
      </w:r>
      <w:r w:rsidR="001E2237">
        <w:rPr>
          <w:rFonts w:ascii="Times New Roman" w:hAnsi="Times New Roman"/>
          <w:sz w:val="28"/>
          <w:szCs w:val="28"/>
        </w:rPr>
        <w:t>8</w:t>
      </w:r>
      <w:r w:rsidRPr="00F353B7">
        <w:rPr>
          <w:rFonts w:ascii="Times New Roman" w:hAnsi="Times New Roman"/>
          <w:sz w:val="28"/>
          <w:szCs w:val="28"/>
        </w:rPr>
        <w:t xml:space="preserve"> год. На старте помповой инсулинотерапии </w:t>
      </w:r>
      <w:r w:rsidR="001E2237">
        <w:rPr>
          <w:rFonts w:ascii="Times New Roman" w:hAnsi="Times New Roman"/>
          <w:sz w:val="28"/>
          <w:szCs w:val="28"/>
        </w:rPr>
        <w:t>226</w:t>
      </w:r>
      <w:r w:rsidRPr="00F353B7">
        <w:rPr>
          <w:rFonts w:ascii="Times New Roman" w:hAnsi="Times New Roman"/>
          <w:sz w:val="28"/>
          <w:szCs w:val="28"/>
        </w:rPr>
        <w:t xml:space="preserve"> пациентам была установлена фиксированная схема подачи базального </w:t>
      </w:r>
      <w:r w:rsidR="001E2237">
        <w:rPr>
          <w:rFonts w:ascii="Times New Roman" w:hAnsi="Times New Roman"/>
          <w:sz w:val="28"/>
          <w:szCs w:val="28"/>
        </w:rPr>
        <w:t>инсулина (“</w:t>
      </w:r>
      <w:proofErr w:type="spellStart"/>
      <w:r w:rsidR="001E2237">
        <w:rPr>
          <w:rFonts w:ascii="Times New Roman" w:hAnsi="Times New Roman"/>
          <w:sz w:val="28"/>
          <w:szCs w:val="28"/>
        </w:rPr>
        <w:t>flat</w:t>
      </w:r>
      <w:proofErr w:type="spellEnd"/>
      <w:r w:rsidR="001E2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37">
        <w:rPr>
          <w:rFonts w:ascii="Times New Roman" w:hAnsi="Times New Roman"/>
          <w:sz w:val="28"/>
          <w:szCs w:val="28"/>
        </w:rPr>
        <w:t>basal</w:t>
      </w:r>
      <w:proofErr w:type="spellEnd"/>
      <w:r w:rsidR="001E2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37">
        <w:rPr>
          <w:rFonts w:ascii="Times New Roman" w:hAnsi="Times New Roman"/>
          <w:sz w:val="28"/>
          <w:szCs w:val="28"/>
        </w:rPr>
        <w:t>rate</w:t>
      </w:r>
      <w:proofErr w:type="spellEnd"/>
      <w:r w:rsidR="001E2237">
        <w:rPr>
          <w:rFonts w:ascii="Times New Roman" w:hAnsi="Times New Roman"/>
          <w:sz w:val="28"/>
          <w:szCs w:val="28"/>
        </w:rPr>
        <w:t>”), 113</w:t>
      </w:r>
      <w:r w:rsidRPr="00F353B7">
        <w:rPr>
          <w:rFonts w:ascii="Times New Roman" w:hAnsi="Times New Roman"/>
          <w:sz w:val="28"/>
          <w:szCs w:val="28"/>
        </w:rPr>
        <w:t xml:space="preserve"> пациентам - так называемая «</w:t>
      </w:r>
      <w:r w:rsidR="001E2237">
        <w:rPr>
          <w:rFonts w:ascii="Times New Roman" w:hAnsi="Times New Roman"/>
          <w:sz w:val="28"/>
          <w:szCs w:val="28"/>
        </w:rPr>
        <w:t>скользящая</w:t>
      </w:r>
      <w:r w:rsidRPr="00F353B7">
        <w:rPr>
          <w:rFonts w:ascii="Times New Roman" w:hAnsi="Times New Roman"/>
          <w:sz w:val="28"/>
          <w:szCs w:val="28"/>
        </w:rPr>
        <w:t>» схема (“</w:t>
      </w:r>
      <w:proofErr w:type="spellStart"/>
      <w:r w:rsidRPr="00F353B7">
        <w:rPr>
          <w:rFonts w:ascii="Times New Roman" w:hAnsi="Times New Roman"/>
          <w:sz w:val="28"/>
          <w:szCs w:val="28"/>
        </w:rPr>
        <w:t>circadian</w:t>
      </w:r>
      <w:proofErr w:type="spellEnd"/>
      <w:r w:rsidRPr="00F35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3B7">
        <w:rPr>
          <w:rFonts w:ascii="Times New Roman" w:hAnsi="Times New Roman"/>
          <w:sz w:val="28"/>
          <w:szCs w:val="28"/>
        </w:rPr>
        <w:t>basal</w:t>
      </w:r>
      <w:proofErr w:type="spellEnd"/>
      <w:r w:rsidRPr="00F353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53B7">
        <w:rPr>
          <w:rFonts w:ascii="Times New Roman" w:hAnsi="Times New Roman"/>
          <w:sz w:val="28"/>
          <w:szCs w:val="28"/>
        </w:rPr>
        <w:t>rate</w:t>
      </w:r>
      <w:proofErr w:type="spellEnd"/>
      <w:r w:rsidRPr="00F353B7">
        <w:rPr>
          <w:rFonts w:ascii="Times New Roman" w:hAnsi="Times New Roman"/>
          <w:sz w:val="28"/>
          <w:szCs w:val="28"/>
        </w:rPr>
        <w:t xml:space="preserve">”), рассчитанная по Шкале </w:t>
      </w:r>
      <w:proofErr w:type="spellStart"/>
      <w:r w:rsidRPr="00F353B7">
        <w:rPr>
          <w:rFonts w:ascii="Times New Roman" w:hAnsi="Times New Roman"/>
          <w:sz w:val="28"/>
          <w:szCs w:val="28"/>
        </w:rPr>
        <w:t>Реннера</w:t>
      </w:r>
      <w:proofErr w:type="spellEnd"/>
      <w:r w:rsidRPr="00F353B7">
        <w:rPr>
          <w:rFonts w:ascii="Times New Roman" w:hAnsi="Times New Roman"/>
          <w:sz w:val="28"/>
          <w:szCs w:val="28"/>
        </w:rPr>
        <w:t xml:space="preserve">. </w:t>
      </w:r>
      <w:r w:rsidR="001E2237">
        <w:rPr>
          <w:rFonts w:ascii="Times New Roman" w:hAnsi="Times New Roman"/>
          <w:sz w:val="28"/>
          <w:szCs w:val="28"/>
        </w:rPr>
        <w:t xml:space="preserve">Основные характеристики исследуемой группы представлены в таблице 1. </w:t>
      </w:r>
    </w:p>
    <w:p w:rsidR="001E28D5" w:rsidRPr="001E28D5" w:rsidRDefault="001E2237" w:rsidP="001E28D5">
      <w:pPr>
        <w:spacing w:line="360" w:lineRule="auto"/>
        <w:ind w:firstLine="708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1E28D5">
        <w:rPr>
          <w:rFonts w:ascii="Times New Roman" w:hAnsi="Times New Roman"/>
          <w:i/>
          <w:sz w:val="28"/>
          <w:szCs w:val="28"/>
          <w:u w:val="single"/>
        </w:rPr>
        <w:t>Таблица 1.</w:t>
      </w:r>
    </w:p>
    <w:p w:rsidR="001E2237" w:rsidRPr="001E28D5" w:rsidRDefault="001E2237" w:rsidP="001E28D5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28D5">
        <w:rPr>
          <w:rFonts w:ascii="Times New Roman" w:hAnsi="Times New Roman"/>
          <w:i/>
          <w:sz w:val="28"/>
          <w:szCs w:val="28"/>
        </w:rPr>
        <w:t>Основные характеристики исследуемой группы</w:t>
      </w:r>
    </w:p>
    <w:tbl>
      <w:tblPr>
        <w:tblStyle w:val="a4"/>
        <w:tblW w:w="9755" w:type="dxa"/>
        <w:tblLayout w:type="fixed"/>
        <w:tblLook w:val="0000" w:firstRow="0" w:lastRow="0" w:firstColumn="0" w:lastColumn="0" w:noHBand="0" w:noVBand="0"/>
      </w:tblPr>
      <w:tblGrid>
        <w:gridCol w:w="1590"/>
        <w:gridCol w:w="1392"/>
        <w:gridCol w:w="2824"/>
        <w:gridCol w:w="2949"/>
        <w:gridCol w:w="1000"/>
      </w:tblGrid>
      <w:tr w:rsidR="001E2237" w:rsidRPr="00DA0978" w:rsidTr="001E28D5">
        <w:trPr>
          <w:trHeight w:val="898"/>
        </w:trPr>
        <w:tc>
          <w:tcPr>
            <w:tcW w:w="2982" w:type="dxa"/>
            <w:gridSpan w:val="2"/>
            <w:vMerge w:val="restart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sz w:val="28"/>
                <w:szCs w:val="28"/>
              </w:rPr>
              <w:t>Параметр</w:t>
            </w:r>
          </w:p>
        </w:tc>
        <w:tc>
          <w:tcPr>
            <w:tcW w:w="5773" w:type="dxa"/>
            <w:gridSpan w:val="2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ED558A">
              <w:rPr>
                <w:rFonts w:ascii="Times New Roman" w:hAnsi="Times New Roman"/>
                <w:color w:val="264A60"/>
                <w:sz w:val="28"/>
                <w:szCs w:val="28"/>
              </w:rPr>
              <w:t>С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хема помповой инсулинотерапии на старте: "скользящая"(1) или фиксированная (2)</w:t>
            </w:r>
          </w:p>
        </w:tc>
        <w:tc>
          <w:tcPr>
            <w:tcW w:w="1000" w:type="dxa"/>
          </w:tcPr>
          <w:p w:rsidR="001E2237" w:rsidRPr="00ED558A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р</w:t>
            </w:r>
          </w:p>
        </w:tc>
      </w:tr>
      <w:tr w:rsidR="001E2237" w:rsidRPr="00ED558A" w:rsidTr="001E28D5">
        <w:trPr>
          <w:trHeight w:val="135"/>
        </w:trPr>
        <w:tc>
          <w:tcPr>
            <w:tcW w:w="2982" w:type="dxa"/>
            <w:gridSpan w:val="2"/>
            <w:vMerge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264A60"/>
                <w:sz w:val="28"/>
                <w:szCs w:val="28"/>
              </w:rPr>
            </w:pP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</w:pPr>
            <w:r w:rsidRPr="00ED558A">
              <w:rPr>
                <w:rFonts w:ascii="Times New Roman" w:hAnsi="Times New Roman"/>
                <w:color w:val="264A60"/>
                <w:sz w:val="28"/>
                <w:szCs w:val="28"/>
              </w:rPr>
              <w:t>Ско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льзящая</w:t>
            </w:r>
            <w:r w:rsidRPr="00ED558A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r w:rsidRPr="00ED558A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n=113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Ф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иксированная</w:t>
            </w:r>
            <w:r w:rsidRPr="00ED558A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, n = 226</w:t>
            </w:r>
          </w:p>
        </w:tc>
        <w:tc>
          <w:tcPr>
            <w:tcW w:w="1000" w:type="dxa"/>
          </w:tcPr>
          <w:p w:rsidR="001E2237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</w:p>
        </w:tc>
      </w:tr>
      <w:tr w:rsidR="001E2237" w:rsidRPr="00ED558A" w:rsidTr="001E28D5">
        <w:trPr>
          <w:trHeight w:val="449"/>
        </w:trPr>
        <w:tc>
          <w:tcPr>
            <w:tcW w:w="2982" w:type="dxa"/>
            <w:gridSpan w:val="2"/>
          </w:tcPr>
          <w:p w:rsidR="001E2237" w:rsidRPr="001E28D5" w:rsidRDefault="001E2237" w:rsidP="00C75973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HbA1c, %</w:t>
            </w:r>
            <w:r w:rsidR="001D78B2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8,3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[7,0;10,0]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8,1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[7,1;9,5]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0,318</w:t>
            </w:r>
          </w:p>
        </w:tc>
      </w:tr>
      <w:tr w:rsidR="001E2237" w:rsidRPr="00ED558A" w:rsidTr="001E28D5">
        <w:trPr>
          <w:trHeight w:val="421"/>
        </w:trPr>
        <w:tc>
          <w:tcPr>
            <w:tcW w:w="1590" w:type="dxa"/>
            <w:vMerge w:val="restart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Пол, 1-М, 2-Ж</w:t>
            </w:r>
          </w:p>
        </w:tc>
        <w:tc>
          <w:tcPr>
            <w:tcW w:w="1392" w:type="dxa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М</w:t>
            </w:r>
            <w:r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, n (%)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54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(48%)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96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(42%)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</w:p>
        </w:tc>
      </w:tr>
      <w:tr w:rsidR="001E2237" w:rsidRPr="00ED558A" w:rsidTr="001E28D5">
        <w:trPr>
          <w:trHeight w:val="135"/>
        </w:trPr>
        <w:tc>
          <w:tcPr>
            <w:tcW w:w="1590" w:type="dxa"/>
            <w:vMerge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Ж</w:t>
            </w:r>
            <w:r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, n (%)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59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(52%)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130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(58%)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</w:p>
        </w:tc>
      </w:tr>
      <w:tr w:rsidR="001E2237" w:rsidRPr="00ED558A" w:rsidTr="001E28D5">
        <w:trPr>
          <w:trHeight w:val="421"/>
        </w:trPr>
        <w:tc>
          <w:tcPr>
            <w:tcW w:w="2982" w:type="dxa"/>
            <w:gridSpan w:val="2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Возраст, лет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proofErr w:type="spell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29,0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[25;34]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32,0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[26,0;40,0]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0,021</w:t>
            </w:r>
          </w:p>
        </w:tc>
      </w:tr>
      <w:tr w:rsidR="001E2237" w:rsidRPr="00ED558A" w:rsidTr="001E28D5">
        <w:trPr>
          <w:trHeight w:val="898"/>
        </w:trPr>
        <w:tc>
          <w:tcPr>
            <w:tcW w:w="2982" w:type="dxa"/>
            <w:gridSpan w:val="2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Длительность текущего заболевания, лет</w:t>
            </w:r>
            <w:r w:rsidR="001D78B2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proofErr w:type="spell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13,0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[7,0;19.0]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11,0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[5,0;18,0]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0,09</w:t>
            </w:r>
          </w:p>
        </w:tc>
      </w:tr>
      <w:tr w:rsidR="001E2237" w:rsidRPr="00ED558A" w:rsidTr="001E28D5">
        <w:trPr>
          <w:trHeight w:val="421"/>
        </w:trPr>
        <w:tc>
          <w:tcPr>
            <w:tcW w:w="2982" w:type="dxa"/>
            <w:gridSpan w:val="2"/>
          </w:tcPr>
          <w:p w:rsidR="001E2237" w:rsidRPr="001E28D5" w:rsidRDefault="001E2237" w:rsidP="001D78B2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ИМТ, кг/м2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proofErr w:type="spell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23,30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</w:rPr>
              <w:t xml:space="preserve"> [21,0;26,5]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23,95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</w:rPr>
              <w:t xml:space="preserve"> [21,4;26,77]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0,328</w:t>
            </w:r>
          </w:p>
        </w:tc>
      </w:tr>
      <w:tr w:rsidR="001E2237" w:rsidRPr="00ED558A" w:rsidTr="001E28D5">
        <w:trPr>
          <w:trHeight w:val="898"/>
        </w:trPr>
        <w:tc>
          <w:tcPr>
            <w:tcW w:w="2982" w:type="dxa"/>
            <w:gridSpan w:val="2"/>
          </w:tcPr>
          <w:p w:rsidR="001E2237" w:rsidRPr="001E28D5" w:rsidRDefault="001E2237" w:rsidP="005738C2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Суточная доза инсулина (до помпы), </w:t>
            </w:r>
            <w:proofErr w:type="spellStart"/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Ед</w:t>
            </w:r>
            <w:proofErr w:type="spell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,</w:t>
            </w:r>
            <w:r w:rsidR="005738C2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proofErr w:type="spell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C75973"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53,0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</w:rPr>
              <w:t xml:space="preserve"> [45,0;70,0]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48,0</w:t>
            </w:r>
            <w:r w:rsidRPr="00ED558A">
              <w:rPr>
                <w:rFonts w:ascii="Times New Roman" w:hAnsi="Times New Roman"/>
                <w:color w:val="010205"/>
                <w:sz w:val="28"/>
                <w:szCs w:val="28"/>
              </w:rPr>
              <w:t xml:space="preserve"> [38,0;62,0]</w:t>
            </w:r>
          </w:p>
        </w:tc>
        <w:tc>
          <w:tcPr>
            <w:tcW w:w="1000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0,013</w:t>
            </w:r>
          </w:p>
        </w:tc>
      </w:tr>
      <w:tr w:rsidR="001E2237" w:rsidRPr="00ED558A" w:rsidTr="001E28D5">
        <w:trPr>
          <w:trHeight w:val="913"/>
        </w:trPr>
        <w:tc>
          <w:tcPr>
            <w:tcW w:w="2982" w:type="dxa"/>
            <w:gridSpan w:val="2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proofErr w:type="spellStart"/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Ретинопатия</w:t>
            </w:r>
            <w:proofErr w:type="spellEnd"/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, %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50,4%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48,4%</w:t>
            </w:r>
          </w:p>
        </w:tc>
        <w:tc>
          <w:tcPr>
            <w:tcW w:w="1000" w:type="dxa"/>
            <w:vMerge w:val="restart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</w:p>
        </w:tc>
      </w:tr>
      <w:tr w:rsidR="001E2237" w:rsidRPr="00ED558A" w:rsidTr="001E28D5">
        <w:trPr>
          <w:trHeight w:val="913"/>
        </w:trPr>
        <w:tc>
          <w:tcPr>
            <w:tcW w:w="2982" w:type="dxa"/>
            <w:gridSpan w:val="2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Ней</w:t>
            </w:r>
            <w:r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h</w:t>
            </w:r>
            <w:proofErr w:type="spellStart"/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>опатия</w:t>
            </w:r>
            <w:proofErr w:type="spellEnd"/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r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%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80,2%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92,9%</w:t>
            </w:r>
          </w:p>
        </w:tc>
        <w:tc>
          <w:tcPr>
            <w:tcW w:w="1000" w:type="dxa"/>
            <w:vMerge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</w:p>
        </w:tc>
      </w:tr>
      <w:tr w:rsidR="001E2237" w:rsidRPr="00ED558A" w:rsidTr="001E28D5">
        <w:trPr>
          <w:trHeight w:val="1375"/>
        </w:trPr>
        <w:tc>
          <w:tcPr>
            <w:tcW w:w="2982" w:type="dxa"/>
            <w:gridSpan w:val="2"/>
          </w:tcPr>
          <w:p w:rsidR="001E2237" w:rsidRPr="001E28D5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1E28D5">
              <w:rPr>
                <w:rFonts w:ascii="Times New Roman" w:hAnsi="Times New Roman"/>
                <w:color w:val="264A60"/>
                <w:sz w:val="28"/>
                <w:szCs w:val="28"/>
              </w:rPr>
              <w:lastRenderedPageBreak/>
              <w:t xml:space="preserve">Нефропатия, </w:t>
            </w:r>
            <w:r w:rsidRPr="001E28D5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%</w:t>
            </w:r>
          </w:p>
        </w:tc>
        <w:tc>
          <w:tcPr>
            <w:tcW w:w="2824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78,2%</w:t>
            </w:r>
          </w:p>
        </w:tc>
        <w:tc>
          <w:tcPr>
            <w:tcW w:w="2949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73,7%</w:t>
            </w:r>
          </w:p>
        </w:tc>
        <w:tc>
          <w:tcPr>
            <w:tcW w:w="1000" w:type="dxa"/>
            <w:vMerge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</w:p>
        </w:tc>
      </w:tr>
    </w:tbl>
    <w:p w:rsidR="001E2237" w:rsidRDefault="001E2237" w:rsidP="00351B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2237" w:rsidRDefault="00F353B7" w:rsidP="00351B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3B7">
        <w:rPr>
          <w:rFonts w:ascii="Times New Roman" w:hAnsi="Times New Roman"/>
          <w:sz w:val="28"/>
          <w:szCs w:val="28"/>
        </w:rPr>
        <w:t>Оценка безопасности двух видов базальной скорости подачи инсулина проводилась на основании колебаний гликемии в первые двое суток после перехода на ПИ, полученных при помощи системы непрерывного</w:t>
      </w:r>
      <w:r w:rsidR="001E22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237">
        <w:rPr>
          <w:rFonts w:ascii="Times New Roman" w:hAnsi="Times New Roman"/>
          <w:sz w:val="28"/>
          <w:szCs w:val="28"/>
        </w:rPr>
        <w:t>мониторирования</w:t>
      </w:r>
      <w:proofErr w:type="spellEnd"/>
      <w:r w:rsidR="001E2237">
        <w:rPr>
          <w:rFonts w:ascii="Times New Roman" w:hAnsi="Times New Roman"/>
          <w:sz w:val="28"/>
          <w:szCs w:val="28"/>
        </w:rPr>
        <w:t xml:space="preserve"> гликемии (</w:t>
      </w:r>
      <w:proofErr w:type="gramStart"/>
      <w:r w:rsidR="001E2237">
        <w:rPr>
          <w:rFonts w:ascii="Times New Roman" w:hAnsi="Times New Roman"/>
          <w:sz w:val="28"/>
          <w:szCs w:val="28"/>
        </w:rPr>
        <w:t xml:space="preserve">НМГ) </w:t>
      </w:r>
      <w:r w:rsidR="00016D5E" w:rsidRPr="002F5BF9">
        <w:rPr>
          <w:rFonts w:ascii="Times New Roman" w:hAnsi="Times New Roman"/>
          <w:sz w:val="28"/>
          <w:szCs w:val="28"/>
        </w:rPr>
        <w:t xml:space="preserve"> системой</w:t>
      </w:r>
      <w:proofErr w:type="gramEnd"/>
      <w:r w:rsidR="00016D5E" w:rsidRPr="002F5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6D5E" w:rsidRPr="002F5BF9">
        <w:rPr>
          <w:rFonts w:ascii="Times New Roman" w:hAnsi="Times New Roman"/>
          <w:sz w:val="28"/>
          <w:szCs w:val="28"/>
          <w:lang w:val="en-US"/>
        </w:rPr>
        <w:t>iPro</w:t>
      </w:r>
      <w:proofErr w:type="spellEnd"/>
      <w:r w:rsidR="00AA5FD0" w:rsidRPr="002F5BF9">
        <w:rPr>
          <w:rFonts w:ascii="Times New Roman" w:hAnsi="Times New Roman"/>
          <w:sz w:val="28"/>
          <w:szCs w:val="28"/>
        </w:rPr>
        <w:t>-2 (“</w:t>
      </w:r>
      <w:r w:rsidR="00AA5FD0" w:rsidRPr="002F5BF9">
        <w:rPr>
          <w:rFonts w:ascii="Times New Roman" w:hAnsi="Times New Roman"/>
          <w:sz w:val="28"/>
          <w:szCs w:val="28"/>
          <w:lang w:val="en-US"/>
        </w:rPr>
        <w:t>Medtronic</w:t>
      </w:r>
      <w:r w:rsidR="00AA5FD0" w:rsidRPr="002F5BF9">
        <w:rPr>
          <w:rFonts w:ascii="Times New Roman" w:hAnsi="Times New Roman"/>
          <w:sz w:val="28"/>
          <w:szCs w:val="28"/>
        </w:rPr>
        <w:t xml:space="preserve">”, </w:t>
      </w:r>
      <w:r w:rsidR="00AA5FD0" w:rsidRPr="002F5BF9">
        <w:rPr>
          <w:rFonts w:ascii="Times New Roman" w:hAnsi="Times New Roman"/>
          <w:sz w:val="28"/>
          <w:szCs w:val="28"/>
          <w:lang w:val="en-US"/>
        </w:rPr>
        <w:t>USA</w:t>
      </w:r>
      <w:r w:rsidR="001E2237">
        <w:rPr>
          <w:rFonts w:ascii="Times New Roman" w:hAnsi="Times New Roman"/>
          <w:sz w:val="28"/>
          <w:szCs w:val="28"/>
        </w:rPr>
        <w:t>) (Табл.2).</w:t>
      </w:r>
    </w:p>
    <w:p w:rsidR="001E28D5" w:rsidRPr="001E28D5" w:rsidRDefault="001E28D5" w:rsidP="001E28D5">
      <w:pPr>
        <w:spacing w:line="36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1E28D5">
        <w:rPr>
          <w:rFonts w:ascii="Times New Roman" w:hAnsi="Times New Roman"/>
          <w:i/>
          <w:sz w:val="28"/>
          <w:szCs w:val="28"/>
          <w:u w:val="single"/>
        </w:rPr>
        <w:t>Таблица 2</w:t>
      </w:r>
    </w:p>
    <w:p w:rsidR="001E2237" w:rsidRPr="001E28D5" w:rsidRDefault="001E2237" w:rsidP="001E28D5">
      <w:pPr>
        <w:spacing w:line="360" w:lineRule="auto"/>
        <w:rPr>
          <w:rFonts w:ascii="Times New Roman" w:hAnsi="Times New Roman"/>
          <w:sz w:val="28"/>
          <w:szCs w:val="28"/>
        </w:rPr>
      </w:pPr>
      <w:r w:rsidRPr="001E28D5">
        <w:rPr>
          <w:rFonts w:ascii="Times New Roman" w:hAnsi="Times New Roman"/>
          <w:i/>
          <w:sz w:val="28"/>
          <w:szCs w:val="28"/>
        </w:rPr>
        <w:t>Сравн</w:t>
      </w:r>
      <w:r w:rsidR="001D78B2" w:rsidRPr="001E28D5">
        <w:rPr>
          <w:rFonts w:ascii="Times New Roman" w:hAnsi="Times New Roman"/>
          <w:i/>
          <w:sz w:val="28"/>
          <w:szCs w:val="28"/>
        </w:rPr>
        <w:t>ительная характеристика двух видов базальной скорости подачи инсулина</w:t>
      </w:r>
    </w:p>
    <w:tbl>
      <w:tblPr>
        <w:tblStyle w:val="a4"/>
        <w:tblW w:w="9725" w:type="dxa"/>
        <w:tblLayout w:type="fixed"/>
        <w:tblLook w:val="0000" w:firstRow="0" w:lastRow="0" w:firstColumn="0" w:lastColumn="0" w:noHBand="0" w:noVBand="0"/>
      </w:tblPr>
      <w:tblGrid>
        <w:gridCol w:w="4400"/>
        <w:gridCol w:w="2126"/>
        <w:gridCol w:w="2087"/>
        <w:gridCol w:w="1112"/>
      </w:tblGrid>
      <w:tr w:rsidR="001E28D5" w:rsidRPr="0068524B" w:rsidTr="001E28D5">
        <w:trPr>
          <w:trHeight w:val="1600"/>
        </w:trPr>
        <w:tc>
          <w:tcPr>
            <w:tcW w:w="4400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68524B">
              <w:rPr>
                <w:rFonts w:ascii="Times New Roman" w:hAnsi="Times New Roman"/>
                <w:color w:val="264A60"/>
                <w:sz w:val="28"/>
                <w:szCs w:val="28"/>
              </w:rPr>
              <w:t>Параметр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</w:pPr>
            <w:r w:rsidRPr="0068524B">
              <w:rPr>
                <w:rFonts w:ascii="Times New Roman" w:hAnsi="Times New Roman"/>
                <w:color w:val="264A60"/>
                <w:sz w:val="28"/>
                <w:szCs w:val="28"/>
              </w:rPr>
              <w:t>Ско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льзящая</w:t>
            </w:r>
            <w:r w:rsidRPr="0068524B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r w:rsidRPr="0068524B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n=113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Ф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иксированная</w:t>
            </w:r>
            <w:r w:rsidRPr="0068524B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, n = 226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</w:pPr>
            <w:r w:rsidRPr="0068524B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p</w:t>
            </w:r>
          </w:p>
        </w:tc>
      </w:tr>
      <w:tr w:rsidR="001E28D5" w:rsidRPr="0068524B" w:rsidTr="001E28D5">
        <w:trPr>
          <w:trHeight w:val="352"/>
        </w:trPr>
        <w:tc>
          <w:tcPr>
            <w:tcW w:w="4400" w:type="dxa"/>
          </w:tcPr>
          <w:p w:rsidR="001E2237" w:rsidRPr="001D78B2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Количество о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тклонени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й гликемии 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выше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целевых значений в первые сутки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proofErr w:type="spellStart"/>
            <w:r w:rsidR="005738C2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5738C2" w:rsidRPr="00885AE7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2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</w:rPr>
              <w:t xml:space="preserve"> 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>[1;3]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2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[1;3]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0,131</w:t>
            </w:r>
          </w:p>
        </w:tc>
      </w:tr>
      <w:tr w:rsidR="001E28D5" w:rsidRPr="0068524B" w:rsidTr="001E28D5">
        <w:trPr>
          <w:trHeight w:val="352"/>
        </w:trPr>
        <w:tc>
          <w:tcPr>
            <w:tcW w:w="4400" w:type="dxa"/>
          </w:tcPr>
          <w:p w:rsidR="001E2237" w:rsidRPr="001D78B2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Количество о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тклонени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й гликемии 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выше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целевых значений во вторые сутки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proofErr w:type="spellStart"/>
            <w:r w:rsidR="005738C2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5738C2" w:rsidRPr="00885AE7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[1;2]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[1;2]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0,966</w:t>
            </w:r>
          </w:p>
        </w:tc>
      </w:tr>
      <w:tr w:rsidR="001E28D5" w:rsidRPr="0068524B" w:rsidTr="001E28D5">
        <w:trPr>
          <w:trHeight w:val="332"/>
        </w:trPr>
        <w:tc>
          <w:tcPr>
            <w:tcW w:w="4400" w:type="dxa"/>
          </w:tcPr>
          <w:p w:rsidR="001E2237" w:rsidRPr="001D78B2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Количество о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тклонени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>й гликемии ниже целевых значений в первые сутки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proofErr w:type="spellStart"/>
            <w:r w:rsidR="005738C2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5738C2" w:rsidRPr="00885AE7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[0;2]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1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[0;2]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0,309</w:t>
            </w:r>
          </w:p>
        </w:tc>
      </w:tr>
      <w:tr w:rsidR="001E28D5" w:rsidRPr="0068524B" w:rsidTr="001E28D5">
        <w:trPr>
          <w:trHeight w:val="352"/>
        </w:trPr>
        <w:tc>
          <w:tcPr>
            <w:tcW w:w="4400" w:type="dxa"/>
          </w:tcPr>
          <w:p w:rsidR="001E2237" w:rsidRPr="001D78B2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>
              <w:rPr>
                <w:rFonts w:ascii="Times New Roman" w:hAnsi="Times New Roman"/>
                <w:color w:val="264A60"/>
                <w:sz w:val="28"/>
                <w:szCs w:val="28"/>
              </w:rPr>
              <w:t>Количество о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тклонени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й гликемии ниже целевых 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lastRenderedPageBreak/>
              <w:t>значений во вторые сутки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proofErr w:type="spellStart"/>
            <w:r w:rsidR="005738C2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5738C2" w:rsidRPr="00885AE7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lastRenderedPageBreak/>
              <w:t>0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[0;1]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[0;1]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0,969</w:t>
            </w:r>
          </w:p>
        </w:tc>
      </w:tr>
      <w:tr w:rsidR="001E28D5" w:rsidRPr="0068524B" w:rsidTr="001E28D5">
        <w:trPr>
          <w:trHeight w:val="706"/>
        </w:trPr>
        <w:tc>
          <w:tcPr>
            <w:tcW w:w="4400" w:type="dxa"/>
          </w:tcPr>
          <w:p w:rsidR="001E2237" w:rsidRPr="005738C2" w:rsidRDefault="001E2237" w:rsidP="005738C2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ППК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гликемии 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выше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целевых значений в первые сутки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proofErr w:type="spellStart"/>
            <w:r w:rsidR="005738C2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r w:rsidR="005738C2" w:rsidRPr="00885AE7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5738C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5738C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,66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[0,16;1,68]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,48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[0,13;1,58]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0,438</w:t>
            </w:r>
          </w:p>
        </w:tc>
      </w:tr>
      <w:tr w:rsidR="001E28D5" w:rsidRPr="0068524B" w:rsidTr="001E28D5">
        <w:trPr>
          <w:trHeight w:val="685"/>
        </w:trPr>
        <w:tc>
          <w:tcPr>
            <w:tcW w:w="4400" w:type="dxa"/>
          </w:tcPr>
          <w:p w:rsidR="001E2237" w:rsidRPr="001D78B2" w:rsidRDefault="001E2237" w:rsidP="00885AE7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ППК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гликемии </w:t>
            </w: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выше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r w:rsidR="00885AE7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целевых значений во вторые </w:t>
            </w:r>
            <w:proofErr w:type="gramStart"/>
            <w:r w:rsidR="00885AE7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сутки, 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proofErr w:type="spellStart"/>
            <w:r w:rsidR="00885AE7">
              <w:rPr>
                <w:rFonts w:ascii="Times New Roman" w:hAnsi="Times New Roman"/>
                <w:color w:val="264A60"/>
                <w:sz w:val="28"/>
                <w:szCs w:val="28"/>
              </w:rPr>
              <w:t>Ме</w:t>
            </w:r>
            <w:proofErr w:type="spellEnd"/>
            <w:proofErr w:type="gramEnd"/>
            <w:r w:rsidR="00885AE7" w:rsidRPr="00885AE7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1D78B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1D78B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,68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[0,14;1,5]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,50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[0,06; 1,54]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0,397</w:t>
            </w:r>
          </w:p>
        </w:tc>
      </w:tr>
      <w:tr w:rsidR="001E28D5" w:rsidRPr="0068524B" w:rsidTr="001E28D5">
        <w:trPr>
          <w:trHeight w:val="352"/>
        </w:trPr>
        <w:tc>
          <w:tcPr>
            <w:tcW w:w="4400" w:type="dxa"/>
          </w:tcPr>
          <w:p w:rsidR="001E2237" w:rsidRPr="001D78B2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ППК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гликемии ниже целевых значений в первые сутки</w:t>
            </w:r>
            <w:r w:rsidR="00885AE7">
              <w:rPr>
                <w:rFonts w:ascii="Times New Roman" w:hAnsi="Times New Roman"/>
                <w:color w:val="264A60"/>
                <w:sz w:val="28"/>
                <w:szCs w:val="28"/>
              </w:rPr>
              <w:t>,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r w:rsidR="00885AE7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885AE7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[</w:t>
            </w:r>
            <w:r w:rsidR="00885AE7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885AE7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885AE7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885AE7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,03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[0;0,14]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,01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[0;0,09]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0,203</w:t>
            </w:r>
          </w:p>
        </w:tc>
      </w:tr>
      <w:tr w:rsidR="001E28D5" w:rsidRPr="0068524B" w:rsidTr="001E28D5">
        <w:trPr>
          <w:trHeight w:val="352"/>
        </w:trPr>
        <w:tc>
          <w:tcPr>
            <w:tcW w:w="4400" w:type="dxa"/>
          </w:tcPr>
          <w:p w:rsidR="001E2237" w:rsidRPr="001D78B2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264A60"/>
                <w:sz w:val="28"/>
                <w:szCs w:val="28"/>
              </w:rPr>
            </w:pPr>
            <w:r w:rsidRPr="00DA0978">
              <w:rPr>
                <w:rFonts w:ascii="Times New Roman" w:hAnsi="Times New Roman"/>
                <w:color w:val="264A60"/>
                <w:sz w:val="28"/>
                <w:szCs w:val="28"/>
              </w:rPr>
              <w:t>ППК</w:t>
            </w:r>
            <w:r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гликемии ниже целевых значений во вторые сутки</w:t>
            </w:r>
            <w:r w:rsidR="00885AE7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, </w:t>
            </w:r>
            <w:r w:rsidR="00885AE7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885AE7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 xml:space="preserve"> </w:t>
            </w:r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[</w:t>
            </w:r>
            <w:r w:rsidR="001D78B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Start"/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1;</w:t>
            </w:r>
            <w:r w:rsidR="001D78B2">
              <w:rPr>
                <w:rFonts w:ascii="Times New Roman" w:hAnsi="Times New Roman"/>
                <w:color w:val="264A60"/>
                <w:sz w:val="28"/>
                <w:szCs w:val="28"/>
                <w:lang w:val="en-US"/>
              </w:rPr>
              <w:t>Q</w:t>
            </w:r>
            <w:proofErr w:type="gramEnd"/>
            <w:r w:rsidR="001D78B2" w:rsidRPr="001D78B2">
              <w:rPr>
                <w:rFonts w:ascii="Times New Roman" w:hAnsi="Times New Roman"/>
                <w:color w:val="264A60"/>
                <w:sz w:val="28"/>
                <w:szCs w:val="28"/>
              </w:rPr>
              <w:t>3]</w:t>
            </w:r>
          </w:p>
        </w:tc>
        <w:tc>
          <w:tcPr>
            <w:tcW w:w="2126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,00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[0;0,08]</w:t>
            </w:r>
          </w:p>
        </w:tc>
        <w:tc>
          <w:tcPr>
            <w:tcW w:w="2087" w:type="dxa"/>
          </w:tcPr>
          <w:p w:rsidR="001E2237" w:rsidRPr="00DA0978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</w:t>
            </w:r>
            <w:r w:rsidRPr="00DA0978">
              <w:rPr>
                <w:rFonts w:ascii="Times New Roman" w:hAnsi="Times New Roman"/>
                <w:color w:val="010205"/>
                <w:sz w:val="28"/>
                <w:szCs w:val="28"/>
              </w:rPr>
              <w:t>,00</w:t>
            </w:r>
            <w:r w:rsidRPr="0068524B">
              <w:rPr>
                <w:rFonts w:ascii="Times New Roman" w:hAnsi="Times New Roman"/>
                <w:color w:val="010205"/>
                <w:sz w:val="28"/>
                <w:szCs w:val="28"/>
                <w:lang w:val="en-US"/>
              </w:rPr>
              <w:t xml:space="preserve"> [0;0,07]</w:t>
            </w:r>
          </w:p>
        </w:tc>
        <w:tc>
          <w:tcPr>
            <w:tcW w:w="1112" w:type="dxa"/>
          </w:tcPr>
          <w:p w:rsidR="001E2237" w:rsidRPr="0068524B" w:rsidRDefault="001E2237" w:rsidP="002F13A8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Times New Roman" w:hAnsi="Times New Roman"/>
                <w:color w:val="010205"/>
                <w:sz w:val="28"/>
                <w:szCs w:val="28"/>
              </w:rPr>
            </w:pPr>
            <w:r>
              <w:rPr>
                <w:rFonts w:ascii="Times New Roman" w:hAnsi="Times New Roman"/>
                <w:color w:val="010205"/>
                <w:sz w:val="28"/>
                <w:szCs w:val="28"/>
              </w:rPr>
              <w:t>0,823</w:t>
            </w:r>
          </w:p>
        </w:tc>
      </w:tr>
    </w:tbl>
    <w:p w:rsidR="001E2237" w:rsidRDefault="001E2237" w:rsidP="00351B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2237" w:rsidRPr="001D78B2" w:rsidRDefault="001D78B2" w:rsidP="00351B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Отметим, что для параметра площади под гликемической кривой, рассчитываемой автоматически в ходе расшифровки результатов НМГ, не существует </w:t>
      </w:r>
      <w:r w:rsidR="00885AE7">
        <w:rPr>
          <w:rFonts w:ascii="Times New Roman" w:hAnsi="Times New Roman"/>
          <w:sz w:val="28"/>
          <w:szCs w:val="28"/>
        </w:rPr>
        <w:t>общепризнанной методики оценки, что требует дополнительных исследований.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85AE7">
        <w:rPr>
          <w:rFonts w:ascii="Times New Roman" w:hAnsi="Times New Roman"/>
          <w:sz w:val="28"/>
          <w:szCs w:val="28"/>
        </w:rPr>
        <w:t>Тем не менее, в</w:t>
      </w:r>
      <w:r w:rsidRPr="001D78B2">
        <w:rPr>
          <w:rFonts w:ascii="Times New Roman" w:hAnsi="Times New Roman"/>
          <w:sz w:val="28"/>
          <w:szCs w:val="28"/>
        </w:rPr>
        <w:t xml:space="preserve"> ходе сопоставительного анализа двух видов базальной скорости подачи инсулина на старте помповой инсулинотерапии </w:t>
      </w:r>
      <w:r w:rsidR="00885AE7">
        <w:rPr>
          <w:rFonts w:ascii="Times New Roman" w:hAnsi="Times New Roman"/>
          <w:sz w:val="28"/>
          <w:szCs w:val="28"/>
        </w:rPr>
        <w:t xml:space="preserve">статистически </w:t>
      </w:r>
      <w:r w:rsidRPr="001D78B2">
        <w:rPr>
          <w:rFonts w:ascii="Times New Roman" w:hAnsi="Times New Roman"/>
          <w:sz w:val="28"/>
          <w:szCs w:val="28"/>
        </w:rPr>
        <w:t>значимых различий между ними выявлено не было. При этом ежечасно меняющаяся скорость введения инсулина существенно затрудняет интерпретацию показателей гликемии и, как следствие, коррекцию схемы введения ин</w:t>
      </w:r>
      <w:r>
        <w:rPr>
          <w:rFonts w:ascii="Times New Roman" w:hAnsi="Times New Roman"/>
          <w:sz w:val="28"/>
          <w:szCs w:val="28"/>
        </w:rPr>
        <w:t xml:space="preserve">сулина. С учетом вышесказанного </w:t>
      </w:r>
      <w:r w:rsidRPr="001D78B2">
        <w:rPr>
          <w:rFonts w:ascii="Times New Roman" w:hAnsi="Times New Roman"/>
          <w:sz w:val="28"/>
          <w:szCs w:val="28"/>
        </w:rPr>
        <w:t>представляется целесообразным использование фиксированного режима на старте помповой инсулинотерапии у взрослых в рутинной клинической практике.</w:t>
      </w:r>
    </w:p>
    <w:p w:rsidR="00D10622" w:rsidRPr="002F5BF9" w:rsidRDefault="00116B20" w:rsidP="00351B5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F9">
        <w:rPr>
          <w:rFonts w:ascii="Times New Roman" w:hAnsi="Times New Roman"/>
          <w:sz w:val="28"/>
          <w:szCs w:val="28"/>
        </w:rPr>
        <w:t xml:space="preserve">Нами </w:t>
      </w:r>
      <w:r w:rsidR="00C75973">
        <w:rPr>
          <w:rFonts w:ascii="Times New Roman" w:hAnsi="Times New Roman"/>
          <w:sz w:val="28"/>
          <w:szCs w:val="28"/>
        </w:rPr>
        <w:t xml:space="preserve">также </w:t>
      </w:r>
      <w:r w:rsidRPr="002F5BF9">
        <w:rPr>
          <w:rFonts w:ascii="Times New Roman" w:hAnsi="Times New Roman"/>
          <w:sz w:val="28"/>
          <w:szCs w:val="28"/>
        </w:rPr>
        <w:t xml:space="preserve">была проведена клиническая оценка результатов перевода больных на ПИ, которое включало в себя исследование динамики суточной дозы инсулина, количества гипогликемических реакций, уровень </w:t>
      </w:r>
      <w:proofErr w:type="spellStart"/>
      <w:r w:rsidRPr="002F5BF9">
        <w:rPr>
          <w:rFonts w:ascii="Times New Roman" w:hAnsi="Times New Roman"/>
          <w:sz w:val="28"/>
          <w:szCs w:val="28"/>
        </w:rPr>
        <w:lastRenderedPageBreak/>
        <w:t>гликированного</w:t>
      </w:r>
      <w:proofErr w:type="spellEnd"/>
      <w:r w:rsidRPr="002F5BF9">
        <w:rPr>
          <w:rFonts w:ascii="Times New Roman" w:hAnsi="Times New Roman"/>
          <w:sz w:val="28"/>
          <w:szCs w:val="28"/>
        </w:rPr>
        <w:t xml:space="preserve"> гемоглобина, а также частоту </w:t>
      </w:r>
      <w:r w:rsidR="00C75973">
        <w:rPr>
          <w:rFonts w:ascii="Times New Roman" w:hAnsi="Times New Roman"/>
          <w:sz w:val="28"/>
          <w:szCs w:val="28"/>
        </w:rPr>
        <w:t>прекращения использования инсулиновой помпы</w:t>
      </w:r>
      <w:r w:rsidRPr="002F5BF9">
        <w:rPr>
          <w:rFonts w:ascii="Times New Roman" w:hAnsi="Times New Roman"/>
          <w:sz w:val="28"/>
          <w:szCs w:val="28"/>
        </w:rPr>
        <w:t xml:space="preserve">. </w:t>
      </w:r>
    </w:p>
    <w:p w:rsidR="00A15945" w:rsidRDefault="002F5BF9" w:rsidP="00A1594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F9">
        <w:rPr>
          <w:rFonts w:ascii="Times New Roman" w:hAnsi="Times New Roman"/>
          <w:sz w:val="28"/>
          <w:szCs w:val="28"/>
        </w:rPr>
        <w:t xml:space="preserve">Через </w:t>
      </w:r>
      <w:r w:rsidR="000A084C">
        <w:rPr>
          <w:rFonts w:ascii="Times New Roman" w:hAnsi="Times New Roman"/>
          <w:sz w:val="28"/>
          <w:szCs w:val="28"/>
        </w:rPr>
        <w:t>6</w:t>
      </w:r>
      <w:r w:rsidRPr="002F5BF9">
        <w:rPr>
          <w:rFonts w:ascii="Times New Roman" w:hAnsi="Times New Roman"/>
          <w:sz w:val="28"/>
          <w:szCs w:val="28"/>
        </w:rPr>
        <w:t xml:space="preserve"> месяцев ПИ отмечалось статистически значимое сн</w:t>
      </w:r>
      <w:r w:rsidR="000A084C">
        <w:rPr>
          <w:rFonts w:ascii="Times New Roman" w:hAnsi="Times New Roman"/>
          <w:sz w:val="28"/>
          <w:szCs w:val="28"/>
        </w:rPr>
        <w:t xml:space="preserve">ижение суточной дозы инсулина, </w:t>
      </w:r>
      <w:r w:rsidRPr="002F5BF9">
        <w:rPr>
          <w:rFonts w:ascii="Times New Roman" w:hAnsi="Times New Roman"/>
          <w:sz w:val="28"/>
          <w:szCs w:val="28"/>
        </w:rPr>
        <w:t>количества гипогликемических реакций</w:t>
      </w:r>
      <w:r w:rsidR="000A084C">
        <w:rPr>
          <w:rFonts w:ascii="Times New Roman" w:hAnsi="Times New Roman"/>
          <w:sz w:val="28"/>
          <w:szCs w:val="28"/>
        </w:rPr>
        <w:t xml:space="preserve">, а также уровня </w:t>
      </w:r>
      <w:proofErr w:type="spellStart"/>
      <w:r w:rsidR="000A084C">
        <w:rPr>
          <w:rFonts w:ascii="Times New Roman" w:hAnsi="Times New Roman"/>
          <w:sz w:val="28"/>
          <w:szCs w:val="28"/>
        </w:rPr>
        <w:t>гликированного</w:t>
      </w:r>
      <w:proofErr w:type="spellEnd"/>
      <w:r w:rsidR="000A084C">
        <w:rPr>
          <w:rFonts w:ascii="Times New Roman" w:hAnsi="Times New Roman"/>
          <w:sz w:val="28"/>
          <w:szCs w:val="28"/>
        </w:rPr>
        <w:t xml:space="preserve"> гемоглобина</w:t>
      </w:r>
      <w:r w:rsidR="00C75973">
        <w:rPr>
          <w:rFonts w:ascii="Times New Roman" w:hAnsi="Times New Roman"/>
          <w:sz w:val="28"/>
          <w:szCs w:val="28"/>
        </w:rPr>
        <w:t xml:space="preserve"> (Табл.3 и 4</w:t>
      </w:r>
      <w:r w:rsidRPr="002F5BF9">
        <w:rPr>
          <w:rFonts w:ascii="Times New Roman" w:hAnsi="Times New Roman"/>
          <w:sz w:val="28"/>
          <w:szCs w:val="28"/>
        </w:rPr>
        <w:t>).</w:t>
      </w:r>
      <w:r w:rsidR="00800479">
        <w:rPr>
          <w:rFonts w:ascii="Times New Roman" w:hAnsi="Times New Roman"/>
          <w:sz w:val="28"/>
          <w:szCs w:val="28"/>
        </w:rPr>
        <w:t xml:space="preserve"> </w:t>
      </w:r>
    </w:p>
    <w:p w:rsidR="00A15945" w:rsidRDefault="00A15945" w:rsidP="00A159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Таблица </w:t>
      </w:r>
      <w:r w:rsidR="00C75973">
        <w:rPr>
          <w:rFonts w:ascii="Times New Roman" w:hAnsi="Times New Roman"/>
          <w:i/>
          <w:sz w:val="28"/>
          <w:szCs w:val="28"/>
          <w:u w:val="single"/>
        </w:rPr>
        <w:t>3</w:t>
      </w:r>
      <w:r w:rsidR="00615D40" w:rsidRPr="00A15945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615D40" w:rsidRPr="00A15945" w:rsidRDefault="00615D40" w:rsidP="00615D4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15945">
        <w:rPr>
          <w:rFonts w:ascii="Times New Roman" w:hAnsi="Times New Roman"/>
          <w:i/>
          <w:sz w:val="28"/>
          <w:szCs w:val="28"/>
        </w:rPr>
        <w:t>Исходные характеристики исследуемой группы па</w:t>
      </w:r>
      <w:r w:rsidR="000A084C">
        <w:rPr>
          <w:rFonts w:ascii="Times New Roman" w:hAnsi="Times New Roman"/>
          <w:i/>
          <w:sz w:val="28"/>
          <w:szCs w:val="28"/>
        </w:rPr>
        <w:t xml:space="preserve">циентов с сахарным диабетом (70 </w:t>
      </w:r>
      <w:r w:rsidRPr="00A15945">
        <w:rPr>
          <w:rFonts w:ascii="Times New Roman" w:hAnsi="Times New Roman"/>
          <w:i/>
          <w:sz w:val="28"/>
          <w:szCs w:val="28"/>
        </w:rPr>
        <w:t>пациентов)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2257"/>
        <w:gridCol w:w="4732"/>
      </w:tblGrid>
      <w:tr w:rsidR="00615D40" w:rsidRPr="002F5BF9" w:rsidTr="00F44A2F">
        <w:trPr>
          <w:trHeight w:val="708"/>
        </w:trPr>
        <w:tc>
          <w:tcPr>
            <w:tcW w:w="4513" w:type="dxa"/>
            <w:gridSpan w:val="2"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BF9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732" w:type="dxa"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BF9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615D40" w:rsidRPr="002F5BF9" w:rsidTr="00F44A2F">
        <w:trPr>
          <w:trHeight w:val="312"/>
        </w:trPr>
        <w:tc>
          <w:tcPr>
            <w:tcW w:w="2256" w:type="dxa"/>
            <w:vMerge w:val="restart"/>
            <w:vAlign w:val="center"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2257" w:type="dxa"/>
          </w:tcPr>
          <w:p w:rsidR="00615D40" w:rsidRPr="002F5BF9" w:rsidRDefault="00C75973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15D40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4732" w:type="dxa"/>
          </w:tcPr>
          <w:p w:rsidR="00615D40" w:rsidRPr="002F5BF9" w:rsidRDefault="00E40FAC" w:rsidP="00FB6C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7021E">
              <w:rPr>
                <w:rFonts w:ascii="Times New Roman" w:hAnsi="Times New Roman"/>
                <w:sz w:val="28"/>
                <w:szCs w:val="28"/>
              </w:rPr>
              <w:t>%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5D40" w:rsidRPr="002F5BF9" w:rsidTr="00F44A2F">
        <w:trPr>
          <w:trHeight w:val="311"/>
        </w:trPr>
        <w:tc>
          <w:tcPr>
            <w:tcW w:w="2256" w:type="dxa"/>
            <w:vMerge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615D40" w:rsidRPr="002F5BF9" w:rsidRDefault="00C75973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Жен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615D40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proofErr w:type="gramEnd"/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  <w:tc>
          <w:tcPr>
            <w:tcW w:w="4732" w:type="dxa"/>
          </w:tcPr>
          <w:p w:rsidR="00615D40" w:rsidRPr="002F5BF9" w:rsidRDefault="00E40FAC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73</w:t>
            </w:r>
            <w:r w:rsidR="0077021E">
              <w:rPr>
                <w:rFonts w:ascii="Times New Roman" w:hAnsi="Times New Roman"/>
                <w:sz w:val="28"/>
                <w:szCs w:val="28"/>
              </w:rPr>
              <w:t>%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15D40" w:rsidRPr="002F5BF9" w:rsidTr="00F44A2F">
        <w:trPr>
          <w:trHeight w:val="442"/>
        </w:trPr>
        <w:tc>
          <w:tcPr>
            <w:tcW w:w="4513" w:type="dxa"/>
            <w:gridSpan w:val="2"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 xml:space="preserve">Возраст, лет </w:t>
            </w:r>
          </w:p>
          <w:p w:rsidR="00615D40" w:rsidRPr="002F5BF9" w:rsidRDefault="00C75973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32" w:type="dxa"/>
          </w:tcPr>
          <w:p w:rsidR="00615D40" w:rsidRPr="002F5BF9" w:rsidRDefault="00615D40" w:rsidP="00FB6C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29,</w:t>
            </w:r>
            <w:r w:rsidR="00E40FAC">
              <w:rPr>
                <w:rFonts w:ascii="Times New Roman" w:hAnsi="Times New Roman"/>
                <w:sz w:val="28"/>
                <w:szCs w:val="28"/>
              </w:rPr>
              <w:t>5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[25;35]</w:t>
            </w:r>
          </w:p>
        </w:tc>
      </w:tr>
      <w:tr w:rsidR="00615D40" w:rsidRPr="002F5BF9" w:rsidTr="00F44A2F">
        <w:trPr>
          <w:trHeight w:val="442"/>
        </w:trPr>
        <w:tc>
          <w:tcPr>
            <w:tcW w:w="4513" w:type="dxa"/>
            <w:gridSpan w:val="2"/>
          </w:tcPr>
          <w:p w:rsidR="00615D40" w:rsidRPr="00C75973" w:rsidRDefault="00C75973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ИМТ</w:t>
            </w:r>
            <w:r w:rsidRPr="00C759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кг</w:t>
            </w:r>
            <w:r w:rsidRPr="00C759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75973">
              <w:rPr>
                <w:rFonts w:ascii="Times New Roman" w:hAnsi="Times New Roman"/>
                <w:sz w:val="28"/>
                <w:szCs w:val="28"/>
                <w:lang w:val="en-US"/>
              </w:rPr>
              <w:t>2,</w:t>
            </w:r>
          </w:p>
          <w:p w:rsidR="00615D40" w:rsidRPr="00C75973" w:rsidRDefault="00C75973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C7597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C75973">
              <w:rPr>
                <w:rFonts w:ascii="Times New Roman" w:hAnsi="Times New Roman"/>
                <w:sz w:val="28"/>
                <w:szCs w:val="28"/>
                <w:lang w:val="en-US"/>
              </w:rPr>
              <w:t>1;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C75973">
              <w:rPr>
                <w:rFonts w:ascii="Times New Roman" w:hAnsi="Times New Roman"/>
                <w:sz w:val="28"/>
                <w:szCs w:val="28"/>
                <w:lang w:val="en-US"/>
              </w:rPr>
              <w:t>3]</w:t>
            </w:r>
          </w:p>
        </w:tc>
        <w:tc>
          <w:tcPr>
            <w:tcW w:w="4732" w:type="dxa"/>
          </w:tcPr>
          <w:p w:rsidR="00615D40" w:rsidRPr="002F5BF9" w:rsidRDefault="00FB6CC7" w:rsidP="00FB6C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2</w:t>
            </w:r>
            <w:r w:rsidR="00E40FAC">
              <w:rPr>
                <w:rFonts w:ascii="Times New Roman" w:hAnsi="Times New Roman"/>
                <w:sz w:val="28"/>
                <w:szCs w:val="28"/>
              </w:rPr>
              <w:t>2,5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 [20,8;2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5,0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615D40" w:rsidRPr="002F5BF9" w:rsidTr="00F44A2F">
        <w:trPr>
          <w:trHeight w:val="419"/>
        </w:trPr>
        <w:tc>
          <w:tcPr>
            <w:tcW w:w="4513" w:type="dxa"/>
            <w:gridSpan w:val="2"/>
          </w:tcPr>
          <w:p w:rsidR="00C75973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Длительность диабета,</w:t>
            </w:r>
            <w:r w:rsidR="00C75973">
              <w:rPr>
                <w:rFonts w:ascii="Times New Roman" w:hAnsi="Times New Roman"/>
                <w:sz w:val="28"/>
                <w:szCs w:val="28"/>
              </w:rPr>
              <w:t xml:space="preserve"> лет,</w:t>
            </w:r>
          </w:p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C75973">
              <w:rPr>
                <w:rFonts w:ascii="Times New Roman" w:hAnsi="Times New Roman"/>
                <w:sz w:val="28"/>
                <w:szCs w:val="28"/>
              </w:rPr>
              <w:t>1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C75973">
              <w:rPr>
                <w:rFonts w:ascii="Times New Roman" w:hAnsi="Times New Roman"/>
                <w:sz w:val="28"/>
                <w:szCs w:val="28"/>
              </w:rPr>
              <w:t>3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32" w:type="dxa"/>
          </w:tcPr>
          <w:p w:rsidR="00615D40" w:rsidRPr="002F5BF9" w:rsidRDefault="00FB6CC7" w:rsidP="00E40F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1</w:t>
            </w:r>
            <w:r w:rsidR="00E40FAC">
              <w:rPr>
                <w:rFonts w:ascii="Times New Roman" w:hAnsi="Times New Roman"/>
                <w:sz w:val="28"/>
                <w:szCs w:val="28"/>
              </w:rPr>
              <w:t>1,5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6;1</w:t>
            </w:r>
            <w:r w:rsidR="00E40FAC">
              <w:rPr>
                <w:rFonts w:ascii="Times New Roman" w:hAnsi="Times New Roman"/>
                <w:sz w:val="28"/>
                <w:szCs w:val="28"/>
              </w:rPr>
              <w:t>7</w:t>
            </w:r>
            <w:r w:rsidR="00615D40"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</w:tr>
      <w:tr w:rsidR="00615D40" w:rsidRPr="002F5BF9" w:rsidTr="00F44A2F">
        <w:trPr>
          <w:trHeight w:val="442"/>
        </w:trPr>
        <w:tc>
          <w:tcPr>
            <w:tcW w:w="4513" w:type="dxa"/>
            <w:gridSpan w:val="2"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HbA</w:t>
            </w:r>
            <w:proofErr w:type="spellEnd"/>
            <w:r w:rsidRPr="002F5BF9">
              <w:rPr>
                <w:rFonts w:ascii="Times New Roman" w:hAnsi="Times New Roman"/>
                <w:sz w:val="28"/>
                <w:szCs w:val="28"/>
              </w:rPr>
              <w:t>1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(%),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C75973">
              <w:rPr>
                <w:rFonts w:ascii="Times New Roman" w:hAnsi="Times New Roman"/>
                <w:sz w:val="28"/>
                <w:szCs w:val="28"/>
              </w:rPr>
              <w:t>1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="00C75973">
              <w:rPr>
                <w:rFonts w:ascii="Times New Roman" w:hAnsi="Times New Roman"/>
                <w:sz w:val="28"/>
                <w:szCs w:val="28"/>
              </w:rPr>
              <w:t>3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32" w:type="dxa"/>
          </w:tcPr>
          <w:p w:rsidR="00615D40" w:rsidRPr="002F5BF9" w:rsidRDefault="00E40FAC" w:rsidP="00FB6CC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6,9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;8,9]</w:t>
            </w:r>
          </w:p>
        </w:tc>
      </w:tr>
      <w:tr w:rsidR="00615D40" w:rsidRPr="002F5BF9" w:rsidTr="00F44A2F">
        <w:trPr>
          <w:trHeight w:val="884"/>
        </w:trPr>
        <w:tc>
          <w:tcPr>
            <w:tcW w:w="4513" w:type="dxa"/>
            <w:gridSpan w:val="2"/>
          </w:tcPr>
          <w:p w:rsidR="00615D40" w:rsidRPr="002F5BF9" w:rsidRDefault="00615D40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 xml:space="preserve">Количество гипогликемий (в неделю), 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gramStart"/>
            <w:r w:rsidR="00C75973">
              <w:rPr>
                <w:rFonts w:ascii="Times New Roman" w:hAnsi="Times New Roman"/>
                <w:sz w:val="28"/>
                <w:szCs w:val="28"/>
              </w:rPr>
              <w:t>1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gramEnd"/>
            <w:r w:rsidR="00C75973">
              <w:rPr>
                <w:rFonts w:ascii="Times New Roman" w:hAnsi="Times New Roman"/>
                <w:sz w:val="28"/>
                <w:szCs w:val="28"/>
              </w:rPr>
              <w:t>3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32" w:type="dxa"/>
          </w:tcPr>
          <w:p w:rsidR="00615D40" w:rsidRPr="002F5BF9" w:rsidRDefault="00E40FAC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2 [0;3]</w:t>
            </w:r>
          </w:p>
        </w:tc>
      </w:tr>
      <w:tr w:rsidR="00615D40" w:rsidRPr="002F5BF9" w:rsidTr="00F44A2F">
        <w:trPr>
          <w:trHeight w:val="666"/>
        </w:trPr>
        <w:tc>
          <w:tcPr>
            <w:tcW w:w="4513" w:type="dxa"/>
            <w:gridSpan w:val="2"/>
          </w:tcPr>
          <w:p w:rsidR="00E40FAC" w:rsidRDefault="00615D40" w:rsidP="00E40F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Суточная доза инсулина,</w:t>
            </w:r>
            <w:r w:rsidR="00C759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597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  <w:p w:rsidR="00615D40" w:rsidRPr="002F5BF9" w:rsidRDefault="00C75973" w:rsidP="00E40F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4732" w:type="dxa"/>
          </w:tcPr>
          <w:p w:rsidR="00615D40" w:rsidRPr="002F5BF9" w:rsidRDefault="00E40FAC" w:rsidP="00F44A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58,2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615D40" w:rsidRPr="002F5BF9" w:rsidRDefault="00615D40" w:rsidP="00615D4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15D40" w:rsidRPr="002F5BF9" w:rsidRDefault="00C75973" w:rsidP="00615D40">
      <w:pPr>
        <w:spacing w:line="360" w:lineRule="auto"/>
        <w:jc w:val="right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Таблица 4</w:t>
      </w:r>
    </w:p>
    <w:p w:rsidR="00615D40" w:rsidRPr="002F5BF9" w:rsidRDefault="00615D40" w:rsidP="00615D40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F5BF9">
        <w:rPr>
          <w:rFonts w:ascii="Times New Roman" w:hAnsi="Times New Roman"/>
          <w:i/>
          <w:sz w:val="28"/>
          <w:szCs w:val="28"/>
        </w:rPr>
        <w:t xml:space="preserve">Изменения доз инсулина, уровня </w:t>
      </w:r>
      <w:proofErr w:type="spellStart"/>
      <w:r w:rsidRPr="002F5BF9">
        <w:rPr>
          <w:rFonts w:ascii="Times New Roman" w:hAnsi="Times New Roman"/>
          <w:i/>
          <w:sz w:val="28"/>
          <w:szCs w:val="28"/>
        </w:rPr>
        <w:t>гликированного</w:t>
      </w:r>
      <w:proofErr w:type="spellEnd"/>
      <w:r w:rsidRPr="002F5BF9">
        <w:rPr>
          <w:rFonts w:ascii="Times New Roman" w:hAnsi="Times New Roman"/>
          <w:i/>
          <w:sz w:val="28"/>
          <w:szCs w:val="28"/>
        </w:rPr>
        <w:t xml:space="preserve"> гемоглобина и количества гипогликеми</w:t>
      </w:r>
      <w:r w:rsidR="00C011B1" w:rsidRPr="002F5BF9">
        <w:rPr>
          <w:rFonts w:ascii="Times New Roman" w:hAnsi="Times New Roman"/>
          <w:i/>
          <w:sz w:val="28"/>
          <w:szCs w:val="28"/>
        </w:rPr>
        <w:t xml:space="preserve">ческих реакций исходно и через </w:t>
      </w:r>
      <w:r w:rsidR="00E40FAC">
        <w:rPr>
          <w:rFonts w:ascii="Times New Roman" w:hAnsi="Times New Roman"/>
          <w:i/>
          <w:sz w:val="28"/>
          <w:szCs w:val="28"/>
        </w:rPr>
        <w:t>6</w:t>
      </w:r>
      <w:r w:rsidRPr="002F5BF9">
        <w:rPr>
          <w:rFonts w:ascii="Times New Roman" w:hAnsi="Times New Roman"/>
          <w:i/>
          <w:sz w:val="28"/>
          <w:szCs w:val="28"/>
        </w:rPr>
        <w:t xml:space="preserve"> месяцев после установки помпы.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3118"/>
        <w:gridCol w:w="958"/>
      </w:tblGrid>
      <w:tr w:rsidR="00615D40" w:rsidRPr="002F5BF9" w:rsidTr="00F44A2F">
        <w:trPr>
          <w:trHeight w:val="95"/>
        </w:trPr>
        <w:tc>
          <w:tcPr>
            <w:tcW w:w="3369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BF9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BF9">
              <w:rPr>
                <w:rFonts w:ascii="Times New Roman" w:hAnsi="Times New Roman"/>
                <w:b/>
                <w:sz w:val="28"/>
                <w:szCs w:val="28"/>
              </w:rPr>
              <w:t xml:space="preserve">Исходно   </w:t>
            </w:r>
          </w:p>
        </w:tc>
        <w:tc>
          <w:tcPr>
            <w:tcW w:w="3118" w:type="dxa"/>
          </w:tcPr>
          <w:p w:rsidR="00615D40" w:rsidRPr="002F5BF9" w:rsidRDefault="00615D40" w:rsidP="00C011B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BF9">
              <w:rPr>
                <w:rFonts w:ascii="Times New Roman" w:hAnsi="Times New Roman"/>
                <w:b/>
                <w:sz w:val="28"/>
                <w:szCs w:val="28"/>
              </w:rPr>
              <w:t xml:space="preserve">Через </w:t>
            </w:r>
            <w:r w:rsidR="00E40FA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F5BF9">
              <w:rPr>
                <w:rFonts w:ascii="Times New Roman" w:hAnsi="Times New Roman"/>
                <w:b/>
                <w:sz w:val="28"/>
                <w:szCs w:val="28"/>
              </w:rPr>
              <w:t xml:space="preserve"> месяцев после установки помпы</w:t>
            </w:r>
          </w:p>
        </w:tc>
        <w:tc>
          <w:tcPr>
            <w:tcW w:w="958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5BF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</w:tr>
      <w:tr w:rsidR="00615D40" w:rsidRPr="002F5BF9" w:rsidTr="00F44A2F">
        <w:trPr>
          <w:trHeight w:val="784"/>
        </w:trPr>
        <w:tc>
          <w:tcPr>
            <w:tcW w:w="3369" w:type="dxa"/>
          </w:tcPr>
          <w:p w:rsidR="00615D40" w:rsidRPr="002F5BF9" w:rsidRDefault="00615D40" w:rsidP="00C759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lastRenderedPageBreak/>
              <w:t>Суточная доза инсулина</w:t>
            </w:r>
            <w:r w:rsidR="00C7597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75973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="00C75973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gramStart"/>
            <w:r w:rsidR="00C75973">
              <w:rPr>
                <w:rFonts w:ascii="Times New Roman" w:hAnsi="Times New Roman"/>
                <w:sz w:val="28"/>
                <w:szCs w:val="28"/>
              </w:rPr>
              <w:t>1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gramEnd"/>
            <w:r w:rsidR="00C75973">
              <w:rPr>
                <w:rFonts w:ascii="Times New Roman" w:hAnsi="Times New Roman"/>
                <w:sz w:val="28"/>
                <w:szCs w:val="28"/>
              </w:rPr>
              <w:t>3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615D40" w:rsidRPr="002F5BF9" w:rsidRDefault="00E40FAC" w:rsidP="00E40F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FB6CC7" w:rsidRPr="002F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CC7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58,2</w:t>
            </w:r>
            <w:r w:rsidR="00FB6CC7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3118" w:type="dxa"/>
          </w:tcPr>
          <w:p w:rsidR="00615D40" w:rsidRPr="002F5BF9" w:rsidRDefault="00E40FAC" w:rsidP="00E40F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42,0</w:t>
            </w:r>
            <w:r w:rsidR="00615D40" w:rsidRPr="002F5BF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[</w:t>
            </w:r>
            <w:r>
              <w:rPr>
                <w:rFonts w:ascii="Times New Roman" w:hAnsi="Times New Roman"/>
                <w:sz w:val="28"/>
                <w:szCs w:val="28"/>
              </w:rPr>
              <w:t>30,3</w:t>
            </w:r>
            <w:r w:rsidR="00615D40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;5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15D40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,0]</w:t>
            </w:r>
          </w:p>
        </w:tc>
        <w:tc>
          <w:tcPr>
            <w:tcW w:w="958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&lt;0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615D40" w:rsidRPr="002F5BF9" w:rsidTr="00F44A2F">
        <w:trPr>
          <w:trHeight w:val="824"/>
        </w:trPr>
        <w:tc>
          <w:tcPr>
            <w:tcW w:w="3369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75973">
              <w:rPr>
                <w:rFonts w:ascii="Times New Roman" w:hAnsi="Times New Roman"/>
                <w:sz w:val="28"/>
                <w:szCs w:val="28"/>
              </w:rPr>
              <w:t xml:space="preserve">легких 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гипогликемий (в неделю) 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gramStart"/>
            <w:r w:rsidR="00C75973">
              <w:rPr>
                <w:rFonts w:ascii="Times New Roman" w:hAnsi="Times New Roman"/>
                <w:sz w:val="28"/>
                <w:szCs w:val="28"/>
              </w:rPr>
              <w:t>1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="00C75973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proofErr w:type="gramEnd"/>
            <w:r w:rsidR="00C75973">
              <w:rPr>
                <w:rFonts w:ascii="Times New Roman" w:hAnsi="Times New Roman"/>
                <w:sz w:val="28"/>
                <w:szCs w:val="28"/>
              </w:rPr>
              <w:t>3</w:t>
            </w:r>
            <w:r w:rsidR="00C75973"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615D40" w:rsidRPr="002F5BF9" w:rsidRDefault="00FB6CC7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2 [0;3]</w:t>
            </w:r>
          </w:p>
        </w:tc>
        <w:tc>
          <w:tcPr>
            <w:tcW w:w="3118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1 [0;2]</w:t>
            </w:r>
          </w:p>
        </w:tc>
        <w:tc>
          <w:tcPr>
            <w:tcW w:w="958" w:type="dxa"/>
          </w:tcPr>
          <w:p w:rsidR="00615D40" w:rsidRPr="00E40FAC" w:rsidRDefault="00FB6CC7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E40F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15D40" w:rsidRPr="002F5BF9" w:rsidTr="00F44A2F">
        <w:trPr>
          <w:trHeight w:val="910"/>
        </w:trPr>
        <w:tc>
          <w:tcPr>
            <w:tcW w:w="3369" w:type="dxa"/>
          </w:tcPr>
          <w:p w:rsidR="00615D40" w:rsidRPr="002F5BF9" w:rsidRDefault="00615D40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HbA</w:t>
            </w:r>
            <w:proofErr w:type="spellEnd"/>
            <w:r w:rsidRPr="002F5BF9">
              <w:rPr>
                <w:rFonts w:ascii="Times New Roman" w:hAnsi="Times New Roman"/>
                <w:sz w:val="28"/>
                <w:szCs w:val="28"/>
              </w:rPr>
              <w:t>1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  <w:p w:rsidR="00615D40" w:rsidRPr="002F5BF9" w:rsidRDefault="00C75973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Me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[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;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2126" w:type="dxa"/>
          </w:tcPr>
          <w:p w:rsidR="00615D40" w:rsidRPr="002F5BF9" w:rsidRDefault="00E40FAC" w:rsidP="00E40F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</w:t>
            </w:r>
            <w:r w:rsidR="00FB6CC7" w:rsidRPr="002F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6,9</w:t>
            </w:r>
            <w:r w:rsidR="00FB6CC7" w:rsidRPr="002F5BF9">
              <w:rPr>
                <w:rFonts w:ascii="Times New Roman" w:hAnsi="Times New Roman"/>
                <w:sz w:val="28"/>
                <w:szCs w:val="28"/>
                <w:lang w:val="en-US"/>
              </w:rPr>
              <w:t>;8,9]</w:t>
            </w:r>
          </w:p>
        </w:tc>
        <w:tc>
          <w:tcPr>
            <w:tcW w:w="3118" w:type="dxa"/>
          </w:tcPr>
          <w:p w:rsidR="00615D40" w:rsidRPr="002F5BF9" w:rsidRDefault="00615D40" w:rsidP="00E40FA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7</w:t>
            </w:r>
            <w:r w:rsidR="00E40FAC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="00E40FAC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 xml:space="preserve"> [6,</w:t>
            </w:r>
            <w:r w:rsidR="00E40FAC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;8,</w:t>
            </w:r>
            <w:r w:rsidR="00E40FAC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]</w:t>
            </w:r>
          </w:p>
        </w:tc>
        <w:tc>
          <w:tcPr>
            <w:tcW w:w="958" w:type="dxa"/>
          </w:tcPr>
          <w:p w:rsidR="00615D40" w:rsidRPr="00E40FAC" w:rsidRDefault="00E40FAC" w:rsidP="00F44A2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BF9">
              <w:rPr>
                <w:rFonts w:ascii="Times New Roman" w:hAnsi="Times New Roman"/>
                <w:sz w:val="28"/>
                <w:szCs w:val="28"/>
              </w:rPr>
              <w:t>&lt;0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2F5BF9">
              <w:rPr>
                <w:rFonts w:ascii="Times New Roman" w:hAnsi="Times New Roman"/>
                <w:sz w:val="28"/>
                <w:szCs w:val="28"/>
              </w:rPr>
              <w:t>0</w:t>
            </w:r>
            <w:r w:rsidRPr="002F5BF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A15945" w:rsidRDefault="00A15945" w:rsidP="00615D40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54AD" w:rsidRDefault="00A15945" w:rsidP="002654A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="00C75973">
        <w:rPr>
          <w:rFonts w:ascii="Times New Roman" w:hAnsi="Times New Roman"/>
          <w:sz w:val="28"/>
          <w:szCs w:val="28"/>
          <w:lang w:eastAsia="en-US"/>
        </w:rPr>
        <w:t>Несмотря на то, что ПИ</w:t>
      </w:r>
      <w:r w:rsidR="00C75973" w:rsidRPr="00C75973">
        <w:rPr>
          <w:rFonts w:ascii="Times New Roman" w:hAnsi="Times New Roman"/>
          <w:sz w:val="28"/>
          <w:szCs w:val="28"/>
          <w:lang w:eastAsia="en-US"/>
        </w:rPr>
        <w:t xml:space="preserve"> является одним из наиболее эффективных способов лечения пациентов с </w:t>
      </w:r>
      <w:r w:rsidR="00C75973">
        <w:rPr>
          <w:rFonts w:ascii="Times New Roman" w:hAnsi="Times New Roman"/>
          <w:sz w:val="28"/>
          <w:szCs w:val="28"/>
          <w:lang w:eastAsia="en-US"/>
        </w:rPr>
        <w:t>СД</w:t>
      </w:r>
      <w:r w:rsidR="00C75973" w:rsidRPr="00C75973">
        <w:rPr>
          <w:rFonts w:ascii="Times New Roman" w:hAnsi="Times New Roman"/>
          <w:sz w:val="28"/>
          <w:szCs w:val="28"/>
          <w:lang w:eastAsia="en-US"/>
        </w:rPr>
        <w:t xml:space="preserve">, часть пациентов после перевода на ПИ </w:t>
      </w:r>
      <w:r w:rsidR="00C75973">
        <w:rPr>
          <w:rFonts w:ascii="Times New Roman" w:hAnsi="Times New Roman"/>
          <w:sz w:val="28"/>
          <w:szCs w:val="28"/>
          <w:lang w:eastAsia="en-US"/>
        </w:rPr>
        <w:t xml:space="preserve">все же </w:t>
      </w:r>
      <w:r w:rsidR="00C75973" w:rsidRPr="00C75973">
        <w:rPr>
          <w:rFonts w:ascii="Times New Roman" w:hAnsi="Times New Roman"/>
          <w:sz w:val="28"/>
          <w:szCs w:val="28"/>
          <w:lang w:eastAsia="en-US"/>
        </w:rPr>
        <w:t>прекращает использование данного вида лечения.</w:t>
      </w:r>
      <w:r w:rsidR="00C75973">
        <w:rPr>
          <w:rFonts w:ascii="Times New Roman" w:hAnsi="Times New Roman"/>
          <w:sz w:val="28"/>
          <w:szCs w:val="28"/>
          <w:lang w:eastAsia="en-US"/>
        </w:rPr>
        <w:t xml:space="preserve"> В связи с этим нами был проведен анализ частоты и причин прекращения использования инсулиновой помпы. </w:t>
      </w:r>
      <w:r w:rsidR="00C75973" w:rsidRPr="00C75973">
        <w:rPr>
          <w:rFonts w:ascii="Times New Roman" w:hAnsi="Times New Roman"/>
          <w:sz w:val="28"/>
          <w:szCs w:val="28"/>
          <w:lang w:eastAsia="en-US"/>
        </w:rPr>
        <w:t>Данные были получены в ходе личного визита или телефонного опроса</w:t>
      </w:r>
      <w:r w:rsidR="00F5334D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2654AD" w:rsidRPr="002654AD">
        <w:rPr>
          <w:rFonts w:ascii="Times New Roman" w:hAnsi="Times New Roman"/>
          <w:sz w:val="28"/>
          <w:szCs w:val="28"/>
          <w:lang w:eastAsia="en-US"/>
        </w:rPr>
        <w:t xml:space="preserve">Из 274 опрошенных взрослых пациентов 30,7% перестали использовать инсулиновую помпу в течение первых трех месяцев. В последующем частота прекращения ПИ снижалась и через 6 и более месяцев составляла </w:t>
      </w:r>
      <w:r w:rsidR="002654AD">
        <w:rPr>
          <w:rFonts w:ascii="Times New Roman" w:hAnsi="Times New Roman"/>
          <w:sz w:val="28"/>
          <w:szCs w:val="28"/>
          <w:lang w:eastAsia="en-US"/>
        </w:rPr>
        <w:t>суммарно 7,7%. (Рис.1)</w:t>
      </w: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1E28D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F5334D" w:rsidRPr="00A15945" w:rsidRDefault="001E28D5" w:rsidP="001E28D5">
      <w:pPr>
        <w:tabs>
          <w:tab w:val="left" w:pos="7909"/>
          <w:tab w:val="right" w:pos="9355"/>
        </w:tabs>
        <w:spacing w:line="360" w:lineRule="auto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</w:r>
      <w:proofErr w:type="gramStart"/>
      <w:r w:rsidR="00F5334D" w:rsidRPr="002654AD">
        <w:rPr>
          <w:rFonts w:ascii="Times New Roman" w:hAnsi="Times New Roman"/>
          <w:sz w:val="28"/>
          <w:szCs w:val="28"/>
          <w:lang w:eastAsia="en-US"/>
        </w:rPr>
        <w:t>.</w:t>
      </w:r>
      <w:r w:rsidR="00F5334D">
        <w:rPr>
          <w:rFonts w:ascii="Times New Roman" w:hAnsi="Times New Roman"/>
          <w:i/>
          <w:sz w:val="28"/>
          <w:szCs w:val="28"/>
          <w:u w:val="single"/>
          <w:lang w:eastAsia="en-US"/>
        </w:rPr>
        <w:t>Рисунок</w:t>
      </w:r>
      <w:proofErr w:type="gramEnd"/>
      <w:r w:rsidR="00F5334D">
        <w:rPr>
          <w:rFonts w:ascii="Times New Roman" w:hAnsi="Times New Roman"/>
          <w:i/>
          <w:sz w:val="28"/>
          <w:szCs w:val="28"/>
          <w:u w:val="single"/>
          <w:lang w:eastAsia="en-US"/>
        </w:rPr>
        <w:t xml:space="preserve"> 1</w:t>
      </w:r>
    </w:p>
    <w:p w:rsidR="00F5334D" w:rsidRPr="00A15945" w:rsidRDefault="00F5334D" w:rsidP="00F5334D">
      <w:pPr>
        <w:spacing w:line="360" w:lineRule="auto"/>
        <w:rPr>
          <w:rFonts w:ascii="Times New Roman" w:hAnsi="Times New Roman"/>
          <w:i/>
          <w:sz w:val="28"/>
          <w:szCs w:val="28"/>
          <w:lang w:eastAsia="en-US"/>
        </w:rPr>
      </w:pPr>
      <w:r w:rsidRPr="00A15945">
        <w:rPr>
          <w:rFonts w:ascii="Times New Roman" w:hAnsi="Times New Roman"/>
          <w:i/>
          <w:sz w:val="28"/>
          <w:szCs w:val="28"/>
          <w:lang w:eastAsia="en-US"/>
        </w:rPr>
        <w:t xml:space="preserve">Частота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прекращения </w:t>
      </w:r>
      <w:r w:rsidRPr="00A15945">
        <w:rPr>
          <w:rFonts w:ascii="Times New Roman" w:hAnsi="Times New Roman"/>
          <w:i/>
          <w:sz w:val="28"/>
          <w:szCs w:val="28"/>
          <w:lang w:eastAsia="en-US"/>
        </w:rPr>
        <w:t xml:space="preserve">использования инсулиновой помпы в течение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6 месяцев, </w:t>
      </w:r>
      <w:r>
        <w:rPr>
          <w:rFonts w:ascii="Times New Roman" w:hAnsi="Times New Roman"/>
          <w:i/>
          <w:sz w:val="28"/>
          <w:szCs w:val="28"/>
          <w:lang w:val="en-US" w:eastAsia="en-US"/>
        </w:rPr>
        <w:t>n</w:t>
      </w:r>
      <w:r w:rsidRPr="00A15945">
        <w:rPr>
          <w:rFonts w:ascii="Times New Roman" w:hAnsi="Times New Roman"/>
          <w:i/>
          <w:sz w:val="28"/>
          <w:szCs w:val="28"/>
          <w:lang w:eastAsia="en-US"/>
        </w:rPr>
        <w:t>=274</w:t>
      </w:r>
      <w:r w:rsidRPr="002654AD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323BB849" wp14:editId="38199253">
            <wp:extent cx="5940425" cy="3251937"/>
            <wp:effectExtent l="0" t="0" r="317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E28D5" w:rsidRDefault="00F5334D" w:rsidP="00F5334D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F5334D">
        <w:rPr>
          <w:rFonts w:ascii="Times New Roman" w:hAnsi="Times New Roman"/>
          <w:i/>
          <w:sz w:val="28"/>
          <w:szCs w:val="28"/>
          <w:lang w:eastAsia="en-US"/>
        </w:rPr>
        <w:tab/>
      </w:r>
    </w:p>
    <w:p w:rsidR="002654AD" w:rsidRDefault="001E28D5" w:rsidP="00F5334D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ab/>
      </w:r>
      <w:r w:rsidR="00F5334D" w:rsidRPr="00F5334D">
        <w:rPr>
          <w:rFonts w:ascii="Times New Roman" w:hAnsi="Times New Roman"/>
          <w:sz w:val="28"/>
          <w:szCs w:val="28"/>
          <w:lang w:eastAsia="en-US"/>
        </w:rPr>
        <w:t>О</w:t>
      </w:r>
      <w:r w:rsidR="002654AD" w:rsidRPr="00F5334D">
        <w:rPr>
          <w:rFonts w:ascii="Times New Roman" w:hAnsi="Times New Roman"/>
          <w:sz w:val="28"/>
          <w:szCs w:val="28"/>
          <w:lang w:eastAsia="en-US"/>
        </w:rPr>
        <w:t>с</w:t>
      </w:r>
      <w:r w:rsidR="002654AD" w:rsidRPr="002654AD">
        <w:rPr>
          <w:rFonts w:ascii="Times New Roman" w:hAnsi="Times New Roman"/>
          <w:sz w:val="28"/>
          <w:szCs w:val="28"/>
          <w:lang w:eastAsia="en-US"/>
        </w:rPr>
        <w:t xml:space="preserve">новной причиной прекращения ПИ опрошенные указывали высокую стоимость расходных материалов (89,0% пациентов). Среди других причин можно выделить неудобство использования инсулиновой помпы (5,0% пациентов), </w:t>
      </w:r>
      <w:proofErr w:type="spellStart"/>
      <w:r w:rsidR="002654AD" w:rsidRPr="002654AD">
        <w:rPr>
          <w:rFonts w:ascii="Times New Roman" w:hAnsi="Times New Roman"/>
          <w:sz w:val="28"/>
          <w:szCs w:val="28"/>
          <w:lang w:eastAsia="en-US"/>
        </w:rPr>
        <w:t>недостижение</w:t>
      </w:r>
      <w:proofErr w:type="spellEnd"/>
      <w:r w:rsidR="002654AD" w:rsidRPr="002654AD">
        <w:rPr>
          <w:rFonts w:ascii="Times New Roman" w:hAnsi="Times New Roman"/>
          <w:sz w:val="28"/>
          <w:szCs w:val="28"/>
          <w:lang w:eastAsia="en-US"/>
        </w:rPr>
        <w:t xml:space="preserve"> целевых показателей углеводного обмена (3,0% пациентов), частые воспаления в местах установки канюли (2,0% пациентов) и техническая неис</w:t>
      </w:r>
      <w:r w:rsidR="002654AD">
        <w:rPr>
          <w:rFonts w:ascii="Times New Roman" w:hAnsi="Times New Roman"/>
          <w:sz w:val="28"/>
          <w:szCs w:val="28"/>
          <w:lang w:eastAsia="en-US"/>
        </w:rPr>
        <w:t>правность помпы (1,0% пациентов). (Рис.2)</w:t>
      </w: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1E28D5" w:rsidRDefault="001E28D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</w:p>
    <w:p w:rsidR="00A15945" w:rsidRPr="00A15945" w:rsidRDefault="00A15945" w:rsidP="00A15945">
      <w:pPr>
        <w:spacing w:line="360" w:lineRule="auto"/>
        <w:jc w:val="right"/>
        <w:rPr>
          <w:rFonts w:ascii="Times New Roman" w:hAnsi="Times New Roman"/>
          <w:i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i/>
          <w:sz w:val="28"/>
          <w:szCs w:val="28"/>
          <w:u w:val="single"/>
          <w:lang w:eastAsia="en-US"/>
        </w:rPr>
        <w:lastRenderedPageBreak/>
        <w:t xml:space="preserve">Рисунок </w:t>
      </w:r>
      <w:r w:rsidRPr="00A15945">
        <w:rPr>
          <w:rFonts w:ascii="Times New Roman" w:hAnsi="Times New Roman"/>
          <w:i/>
          <w:sz w:val="28"/>
          <w:szCs w:val="28"/>
          <w:u w:val="single"/>
          <w:lang w:eastAsia="en-US"/>
        </w:rPr>
        <w:t>2</w:t>
      </w:r>
    </w:p>
    <w:p w:rsidR="00A15945" w:rsidRDefault="002A4E90" w:rsidP="00A15945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Основные причины прекращения использования инсулиновой помпы</w:t>
      </w:r>
    </w:p>
    <w:p w:rsidR="002A4E90" w:rsidRPr="00A15945" w:rsidRDefault="002A4E90" w:rsidP="00A15945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eastAsia="en-US"/>
        </w:rPr>
      </w:pPr>
      <w:r w:rsidRPr="002A4E90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0F05B81C" wp14:editId="6974B268">
            <wp:extent cx="5940425" cy="390857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11B1" w:rsidRPr="002F5BF9" w:rsidRDefault="002A4E90" w:rsidP="00057E80">
      <w:pPr>
        <w:spacing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2A4E90">
        <w:rPr>
          <w:rFonts w:ascii="Times New Roman" w:hAnsi="Times New Roman"/>
          <w:sz w:val="28"/>
          <w:szCs w:val="28"/>
          <w:lang w:eastAsia="en-US"/>
        </w:rPr>
        <w:t>Полученные данные свидетельствуют о высокой эффективности и безопасности метода ПИ (прекращение использования ПИ вследствие развития побочных реакций или неисправности суммарно не превышает 6,0%). Тем не менее, частота прекращения ПИ взрослыми пациентами вследствие отсутствия обеспечения расходными материалами остается высокой (89,0%), что обуславливает необходимость расширения льготного снабжения данной категории пациентов.</w:t>
      </w:r>
    </w:p>
    <w:p w:rsidR="00ED208A" w:rsidRDefault="00F03947" w:rsidP="00F5334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F9">
        <w:rPr>
          <w:rFonts w:ascii="Times New Roman" w:hAnsi="Times New Roman"/>
          <w:sz w:val="28"/>
          <w:szCs w:val="28"/>
          <w:lang w:eastAsia="en-US"/>
        </w:rPr>
        <w:tab/>
      </w:r>
    </w:p>
    <w:p w:rsidR="00771BEA" w:rsidRPr="002F5BF9" w:rsidRDefault="00771BEA" w:rsidP="00057E8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5BF9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2E03D5" w:rsidRPr="002F5BF9" w:rsidRDefault="002E03D5" w:rsidP="00057E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BF9">
        <w:rPr>
          <w:rFonts w:ascii="Times New Roman" w:hAnsi="Times New Roman" w:cs="Times New Roman"/>
          <w:sz w:val="28"/>
          <w:szCs w:val="28"/>
        </w:rPr>
        <w:t xml:space="preserve">Шестакова М.В., Майоров А.Ю., Филиппов Ю.И. с </w:t>
      </w:r>
      <w:proofErr w:type="spellStart"/>
      <w:r w:rsidRPr="002F5BF9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2F5BF9">
        <w:rPr>
          <w:rFonts w:ascii="Times New Roman" w:hAnsi="Times New Roman" w:cs="Times New Roman"/>
          <w:sz w:val="28"/>
          <w:szCs w:val="28"/>
        </w:rPr>
        <w:t xml:space="preserve">. Федеральные клинические рекомендации по помповой инсулинотерапии и непрерывному </w:t>
      </w:r>
      <w:proofErr w:type="spellStart"/>
      <w:r w:rsidRPr="002F5BF9">
        <w:rPr>
          <w:rFonts w:ascii="Times New Roman" w:hAnsi="Times New Roman" w:cs="Times New Roman"/>
          <w:sz w:val="28"/>
          <w:szCs w:val="28"/>
        </w:rPr>
        <w:t>мониторированию</w:t>
      </w:r>
      <w:proofErr w:type="spellEnd"/>
      <w:r w:rsidRPr="002F5BF9">
        <w:rPr>
          <w:rFonts w:ascii="Times New Roman" w:hAnsi="Times New Roman" w:cs="Times New Roman"/>
          <w:sz w:val="28"/>
          <w:szCs w:val="28"/>
        </w:rPr>
        <w:t xml:space="preserve"> гликемии у больных сахарным диабетом// VII Всероссийский </w:t>
      </w:r>
      <w:proofErr w:type="spellStart"/>
      <w:r w:rsidRPr="002F5BF9">
        <w:rPr>
          <w:rFonts w:ascii="Times New Roman" w:hAnsi="Times New Roman" w:cs="Times New Roman"/>
          <w:sz w:val="28"/>
          <w:szCs w:val="28"/>
        </w:rPr>
        <w:t>диабетологический</w:t>
      </w:r>
      <w:proofErr w:type="spellEnd"/>
      <w:r w:rsidRPr="002F5BF9">
        <w:rPr>
          <w:rFonts w:ascii="Times New Roman" w:hAnsi="Times New Roman" w:cs="Times New Roman"/>
          <w:sz w:val="28"/>
          <w:szCs w:val="28"/>
        </w:rPr>
        <w:t xml:space="preserve"> конгресс (24-28 февраля 2015 года, Москва)</w:t>
      </w:r>
    </w:p>
    <w:p w:rsidR="00224331" w:rsidRPr="002F5BF9" w:rsidRDefault="00224331" w:rsidP="002243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BF9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Bode D.W. Pumping Protocol. </w:t>
      </w:r>
      <w:r w:rsidRPr="002F5BF9">
        <w:rPr>
          <w:rFonts w:ascii="Times New Roman" w:hAnsi="Times New Roman" w:cs="Times New Roman"/>
          <w:sz w:val="28"/>
          <w:szCs w:val="28"/>
          <w:lang w:val="en-US"/>
        </w:rPr>
        <w:t>A guide to insulin pump therapy initiation. – Georgia, Atlanta, 2008;</w:t>
      </w:r>
    </w:p>
    <w:p w:rsidR="00771BEA" w:rsidRPr="00B77C47" w:rsidRDefault="00771BEA" w:rsidP="00800479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71BEA" w:rsidRPr="00B77C47" w:rsidSect="00E3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7F4"/>
    <w:multiLevelType w:val="hybridMultilevel"/>
    <w:tmpl w:val="D1D8F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6EF5"/>
    <w:multiLevelType w:val="hybridMultilevel"/>
    <w:tmpl w:val="18D286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930BD0"/>
    <w:multiLevelType w:val="hybridMultilevel"/>
    <w:tmpl w:val="DD78D2A6"/>
    <w:lvl w:ilvl="0" w:tplc="A032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08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C4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08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96B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8B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80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6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6A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8E6E6F"/>
    <w:multiLevelType w:val="hybridMultilevel"/>
    <w:tmpl w:val="EFEAA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E509F9"/>
    <w:multiLevelType w:val="hybridMultilevel"/>
    <w:tmpl w:val="75CA3DFE"/>
    <w:lvl w:ilvl="0" w:tplc="BA4C8A90">
      <w:numFmt w:val="bullet"/>
      <w:lvlText w:val="•"/>
      <w:lvlJc w:val="left"/>
      <w:pPr>
        <w:ind w:left="2118" w:hanging="141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12A1C"/>
    <w:multiLevelType w:val="hybridMultilevel"/>
    <w:tmpl w:val="8046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C620F"/>
    <w:multiLevelType w:val="hybridMultilevel"/>
    <w:tmpl w:val="389E708C"/>
    <w:lvl w:ilvl="0" w:tplc="BA4C8A90">
      <w:numFmt w:val="bullet"/>
      <w:lvlText w:val="•"/>
      <w:lvlJc w:val="left"/>
      <w:pPr>
        <w:ind w:left="2826" w:hanging="141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2D820C4"/>
    <w:multiLevelType w:val="hybridMultilevel"/>
    <w:tmpl w:val="6C765880"/>
    <w:lvl w:ilvl="0" w:tplc="85A8E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89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63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0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8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87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64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C617A0"/>
    <w:multiLevelType w:val="hybridMultilevel"/>
    <w:tmpl w:val="35DCC7B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B3F66D5"/>
    <w:multiLevelType w:val="hybridMultilevel"/>
    <w:tmpl w:val="2A8C8884"/>
    <w:lvl w:ilvl="0" w:tplc="BA4C8A90">
      <w:numFmt w:val="bullet"/>
      <w:lvlText w:val="•"/>
      <w:lvlJc w:val="left"/>
      <w:pPr>
        <w:ind w:left="2118" w:hanging="141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80"/>
    <w:rsid w:val="00016D5E"/>
    <w:rsid w:val="000231C8"/>
    <w:rsid w:val="00047182"/>
    <w:rsid w:val="00057E80"/>
    <w:rsid w:val="00074F16"/>
    <w:rsid w:val="000A084C"/>
    <w:rsid w:val="000D52C6"/>
    <w:rsid w:val="00116B20"/>
    <w:rsid w:val="001504ED"/>
    <w:rsid w:val="001D78B2"/>
    <w:rsid w:val="001E2237"/>
    <w:rsid w:val="001E28D5"/>
    <w:rsid w:val="001E5E37"/>
    <w:rsid w:val="00224331"/>
    <w:rsid w:val="00236935"/>
    <w:rsid w:val="002654AD"/>
    <w:rsid w:val="00271561"/>
    <w:rsid w:val="002A4E90"/>
    <w:rsid w:val="002E03D5"/>
    <w:rsid w:val="002F5BF9"/>
    <w:rsid w:val="003237D2"/>
    <w:rsid w:val="00347D9D"/>
    <w:rsid w:val="00351B54"/>
    <w:rsid w:val="0035718D"/>
    <w:rsid w:val="00360090"/>
    <w:rsid w:val="00363CF7"/>
    <w:rsid w:val="003B28C8"/>
    <w:rsid w:val="00452109"/>
    <w:rsid w:val="004B7CCF"/>
    <w:rsid w:val="00561F42"/>
    <w:rsid w:val="005738C2"/>
    <w:rsid w:val="00581FF5"/>
    <w:rsid w:val="00615D40"/>
    <w:rsid w:val="00695AC2"/>
    <w:rsid w:val="006B30D8"/>
    <w:rsid w:val="006F5698"/>
    <w:rsid w:val="00703AE1"/>
    <w:rsid w:val="00705ED6"/>
    <w:rsid w:val="0077021E"/>
    <w:rsid w:val="00771BEA"/>
    <w:rsid w:val="007C5824"/>
    <w:rsid w:val="00800479"/>
    <w:rsid w:val="00885AE7"/>
    <w:rsid w:val="009253AB"/>
    <w:rsid w:val="00976FF0"/>
    <w:rsid w:val="009F786D"/>
    <w:rsid w:val="00A15945"/>
    <w:rsid w:val="00A50D64"/>
    <w:rsid w:val="00A62B3D"/>
    <w:rsid w:val="00A87DFC"/>
    <w:rsid w:val="00AA5FD0"/>
    <w:rsid w:val="00B72A3E"/>
    <w:rsid w:val="00B77C47"/>
    <w:rsid w:val="00BB2CD0"/>
    <w:rsid w:val="00BB5CE0"/>
    <w:rsid w:val="00C011B1"/>
    <w:rsid w:val="00C11E80"/>
    <w:rsid w:val="00C21109"/>
    <w:rsid w:val="00C75973"/>
    <w:rsid w:val="00CE3AC5"/>
    <w:rsid w:val="00D10622"/>
    <w:rsid w:val="00D13C38"/>
    <w:rsid w:val="00D558E2"/>
    <w:rsid w:val="00D9098A"/>
    <w:rsid w:val="00E3063C"/>
    <w:rsid w:val="00E40FAC"/>
    <w:rsid w:val="00EB0C1B"/>
    <w:rsid w:val="00ED208A"/>
    <w:rsid w:val="00F03947"/>
    <w:rsid w:val="00F353B7"/>
    <w:rsid w:val="00F452C2"/>
    <w:rsid w:val="00F5334D"/>
    <w:rsid w:val="00F831AD"/>
    <w:rsid w:val="00FB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C06B1-B22C-4DAD-8D2F-51AA9D19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E80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BE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35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3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1C8"/>
    <w:rPr>
      <w:rFonts w:ascii="Tahoma" w:eastAsia="MS ??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360090"/>
    <w:pPr>
      <w:suppressAutoHyphens w:val="0"/>
      <w:spacing w:before="100" w:beforeAutospacing="1" w:after="100" w:afterAutospacing="1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4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4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ocuments\&#1069;&#1053;&#1044;&#1054;&#1050;&#1056;&#1048;&#1053;&#1054;&#1051;&#1054;&#1043;&#1048;&#1071;\&#1052;&#1054;&#1053;&#1048;&#1050;&#1048;\&#1040;&#1057;&#1055;&#1048;&#1056;&#1040;&#1053;&#1058;&#1059;&#1056;&#1040;\&#1044;&#1048;&#1057;&#1057;&#1045;&#1056;&#1058;&#1040;&#1062;&#1048;&#1071;\&#1044;&#1040;&#1053;&#1053;&#1067;&#1045;%20&#1055;&#1054;%20&#1055;&#1040;&#1062;&#1048;&#1045;&#1053;&#1058;&#1040;&#1052;\&#1054;&#1058;&#1050;&#1040;&#1047;&#1067;%20&#1054;&#1058;%20&#1055;&#1054;&#1052;&#1055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3;&#1072;&#1076;&#1077;&#1083;&#1077;&#1094;\Documents\&#1069;&#1053;&#1044;&#1054;&#1050;&#1056;&#1048;&#1053;&#1054;&#1051;&#1054;&#1043;&#1048;&#1071;\&#1052;&#1054;&#1053;&#1048;&#1050;&#1048;\&#1040;&#1057;&#1055;&#1048;&#1056;&#1040;&#1053;&#1058;&#1059;&#1056;&#1040;\&#1044;&#1048;&#1057;&#1057;&#1045;&#1056;&#1058;&#1040;&#1062;&#1048;&#1071;\&#1044;&#1040;&#1053;&#1053;&#1067;&#1045;%20&#1055;&#1054;%20&#1055;&#1040;&#1062;&#1048;&#1045;&#1053;&#1058;&#1040;&#1052;\&#1054;&#1058;&#1050;&#1040;&#1047;&#1067;%20&#1054;&#1058;%20&#1055;&#1054;&#1052;&#1055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87871621806558"/>
          <c:y val="4.7982446394845016E-2"/>
          <c:w val="0.57857410411251609"/>
          <c:h val="0.85666063017026539"/>
        </c:manualLayout>
      </c:layout>
      <c:bar3DChart>
        <c:barDir val="col"/>
        <c:grouping val="clustered"/>
        <c:varyColors val="0"/>
        <c:ser>
          <c:idx val="0"/>
          <c:order val="0"/>
          <c:tx>
            <c:v>Частота прекращения ПИ, %</c:v>
          </c:tx>
          <c:invertIfNegative val="0"/>
          <c:cat>
            <c:strRef>
              <c:f>Лист2!$A$9:$A$10</c:f>
              <c:strCache>
                <c:ptCount val="2"/>
                <c:pt idx="0">
                  <c:v>3 месяца</c:v>
                </c:pt>
                <c:pt idx="1">
                  <c:v>6 месяцев</c:v>
                </c:pt>
              </c:strCache>
            </c:strRef>
          </c:cat>
          <c:val>
            <c:numRef>
              <c:f>Лист2!$B$9:$B$11</c:f>
              <c:numCache>
                <c:formatCode>General</c:formatCode>
                <c:ptCount val="3"/>
                <c:pt idx="0">
                  <c:v>30.7</c:v>
                </c:pt>
                <c:pt idx="1">
                  <c:v>7.7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88-4451-A33E-91E820D0AC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10303488"/>
        <c:axId val="-2010308928"/>
        <c:axId val="0"/>
      </c:bar3DChart>
      <c:catAx>
        <c:axId val="-201030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2010308928"/>
        <c:crosses val="autoZero"/>
        <c:auto val="1"/>
        <c:lblAlgn val="ctr"/>
        <c:lblOffset val="100"/>
        <c:noMultiLvlLbl val="0"/>
      </c:catAx>
      <c:valAx>
        <c:axId val="-20103089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20103034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4473767282136059"/>
          <c:y val="5.9320075547161427E-2"/>
          <c:w val="0.61277736113924186"/>
          <c:h val="0.1351275078489541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562085063862342E-2"/>
          <c:y val="0.12053222813279846"/>
          <c:w val="0.58668627007188012"/>
          <c:h val="0.83322990790184037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explosion val="12"/>
            <c:extLst xmlns:c16r2="http://schemas.microsoft.com/office/drawing/2015/06/chart">
              <c:ext xmlns:c16="http://schemas.microsoft.com/office/drawing/2014/chart" uri="{C3380CC4-5D6E-409C-BE32-E72D297353CC}">
                <c16:uniqueId val="{00000000-0412-4613-9540-9D8DA28B409D}"/>
              </c:ext>
            </c:extLst>
          </c:dPt>
          <c:dLbls>
            <c:dLbl>
              <c:idx val="0"/>
              <c:layout>
                <c:manualLayout>
                  <c:x val="-5.7719582361343932E-2"/>
                  <c:y val="-0.2379650369966195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412-4613-9540-9D8DA28B409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Лист2!$A$1:$A$5</c:f>
              <c:strCache>
                <c:ptCount val="5"/>
                <c:pt idx="0">
                  <c:v>Высокая стоимость расходных материалов</c:v>
                </c:pt>
                <c:pt idx="1">
                  <c:v>Неудобство использования</c:v>
                </c:pt>
                <c:pt idx="2">
                  <c:v>Недостижение целевых показателей углеводного обмена</c:v>
                </c:pt>
                <c:pt idx="3">
                  <c:v>Техническая неисправность помпы</c:v>
                </c:pt>
                <c:pt idx="4">
                  <c:v>Частые воспаления в местах установки канюли</c:v>
                </c:pt>
              </c:strCache>
            </c:strRef>
          </c:cat>
          <c:val>
            <c:numRef>
              <c:f>Лист2!$B$1:$B$5</c:f>
              <c:numCache>
                <c:formatCode>General</c:formatCode>
                <c:ptCount val="5"/>
                <c:pt idx="0">
                  <c:v>89.1</c:v>
                </c:pt>
                <c:pt idx="1">
                  <c:v>5</c:v>
                </c:pt>
                <c:pt idx="2">
                  <c:v>3.4</c:v>
                </c:pt>
                <c:pt idx="3">
                  <c:v>0.8</c:v>
                </c:pt>
                <c:pt idx="4">
                  <c:v>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12-4613-9540-9D8DA28B4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238851976560754"/>
          <c:y val="2.7828511462887045E-2"/>
          <c:w val="0.42236072389674145"/>
          <c:h val="0.97217148853711299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4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Галицкова</dc:creator>
  <cp:keywords/>
  <dc:description/>
  <cp:lastModifiedBy>Ирина А. Цыганкова</cp:lastModifiedBy>
  <cp:revision>2</cp:revision>
  <dcterms:created xsi:type="dcterms:W3CDTF">2021-04-09T14:13:00Z</dcterms:created>
  <dcterms:modified xsi:type="dcterms:W3CDTF">2021-04-09T14:13:00Z</dcterms:modified>
</cp:coreProperties>
</file>